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AF1" w:rsidRPr="008F4AF1" w:rsidRDefault="008F4AF1" w:rsidP="003D0661">
      <w:pPr>
        <w:tabs>
          <w:tab w:val="left" w:pos="2700"/>
        </w:tabs>
        <w:rPr>
          <w:lang w:val="en-GB"/>
        </w:rPr>
      </w:pPr>
      <w:bookmarkStart w:id="0" w:name="_GoBack"/>
      <w:bookmarkEnd w:id="0"/>
    </w:p>
    <w:p w:rsidR="00DA3EF7" w:rsidRPr="008C389A" w:rsidRDefault="00DA3EF7" w:rsidP="00DA3EF7">
      <w:pPr>
        <w:jc w:val="center"/>
        <w:rPr>
          <w:sz w:val="36"/>
          <w:lang w:val="en-GB"/>
        </w:rPr>
      </w:pPr>
    </w:p>
    <w:p w:rsidR="00DA3EF7" w:rsidRPr="0057680A" w:rsidRDefault="00DA3EF7" w:rsidP="00DA3EF7">
      <w:pPr>
        <w:jc w:val="center"/>
        <w:rPr>
          <w:sz w:val="36"/>
          <w:szCs w:val="36"/>
        </w:rPr>
      </w:pPr>
    </w:p>
    <w:p w:rsidR="00DA3EF7" w:rsidRPr="0057680A" w:rsidRDefault="00DA3EF7" w:rsidP="00DA3EF7">
      <w:pPr>
        <w:jc w:val="center"/>
        <w:rPr>
          <w:sz w:val="36"/>
          <w:szCs w:val="36"/>
        </w:rPr>
      </w:pPr>
    </w:p>
    <w:p w:rsidR="00C83BF7" w:rsidRDefault="0034243E">
      <w:pPr>
        <w:jc w:val="center"/>
        <w:rPr>
          <w:rFonts w:cs="Arial"/>
          <w:b/>
          <w:sz w:val="32"/>
          <w:szCs w:val="32"/>
        </w:rPr>
      </w:pPr>
      <w:r>
        <w:rPr>
          <w:rFonts w:cs="Arial"/>
          <w:b/>
          <w:sz w:val="32"/>
          <w:szCs w:val="32"/>
        </w:rPr>
        <w:t xml:space="preserve">Local </w:t>
      </w:r>
      <w:r w:rsidR="008A5376" w:rsidRPr="00D11F12">
        <w:rPr>
          <w:rFonts w:cs="Arial"/>
          <w:b/>
          <w:sz w:val="32"/>
          <w:szCs w:val="32"/>
        </w:rPr>
        <w:t>Long</w:t>
      </w:r>
      <w:r w:rsidR="006B17F2" w:rsidRPr="00D11F12">
        <w:rPr>
          <w:rFonts w:cs="Arial"/>
          <w:b/>
          <w:sz w:val="32"/>
          <w:szCs w:val="32"/>
        </w:rPr>
        <w:t xml:space="preserve">-Run Growth </w:t>
      </w:r>
      <w:r w:rsidR="006B17F2">
        <w:rPr>
          <w:rFonts w:cs="Arial"/>
          <w:b/>
          <w:sz w:val="32"/>
          <w:szCs w:val="32"/>
        </w:rPr>
        <w:t xml:space="preserve">Evolutions Across </w:t>
      </w:r>
      <w:r w:rsidR="008A5376" w:rsidRPr="00D11F12">
        <w:rPr>
          <w:rFonts w:cs="Arial"/>
          <w:b/>
          <w:sz w:val="32"/>
          <w:szCs w:val="32"/>
        </w:rPr>
        <w:t>Britain</w:t>
      </w:r>
      <w:r>
        <w:rPr>
          <w:rFonts w:cs="Arial"/>
          <w:b/>
          <w:sz w:val="32"/>
          <w:szCs w:val="32"/>
        </w:rPr>
        <w:t>:</w:t>
      </w:r>
      <w:r w:rsidR="003F5775">
        <w:rPr>
          <w:rFonts w:cs="Arial"/>
          <w:b/>
          <w:sz w:val="32"/>
          <w:szCs w:val="32"/>
        </w:rPr>
        <w:t xml:space="preserve"> </w:t>
      </w:r>
      <w:r w:rsidR="006B17F2" w:rsidRPr="00D11F12">
        <w:rPr>
          <w:rFonts w:cs="Arial"/>
          <w:b/>
          <w:sz w:val="32"/>
          <w:szCs w:val="32"/>
        </w:rPr>
        <w:t>Some Exploratory Empirics</w:t>
      </w:r>
    </w:p>
    <w:p w:rsidR="008F4F34" w:rsidRPr="00D11F12" w:rsidRDefault="008F4F34" w:rsidP="00DA3EF7">
      <w:pPr>
        <w:jc w:val="center"/>
        <w:rPr>
          <w:sz w:val="32"/>
          <w:szCs w:val="32"/>
        </w:rPr>
      </w:pPr>
    </w:p>
    <w:p w:rsidR="00DA3EF7" w:rsidRPr="00D11F12" w:rsidRDefault="00DA3EF7" w:rsidP="00DA3EF7">
      <w:pPr>
        <w:jc w:val="center"/>
        <w:rPr>
          <w:sz w:val="32"/>
          <w:szCs w:val="32"/>
        </w:rPr>
      </w:pPr>
    </w:p>
    <w:p w:rsidR="00DA3EF7" w:rsidRDefault="00DA3EF7" w:rsidP="00DA3EF7">
      <w:pPr>
        <w:jc w:val="center"/>
        <w:rPr>
          <w:sz w:val="22"/>
          <w:szCs w:val="22"/>
        </w:rPr>
      </w:pPr>
    </w:p>
    <w:p w:rsidR="006B17F2" w:rsidRDefault="006B17F2" w:rsidP="00DA3EF7">
      <w:pPr>
        <w:jc w:val="center"/>
        <w:rPr>
          <w:sz w:val="22"/>
          <w:szCs w:val="22"/>
        </w:rPr>
      </w:pPr>
    </w:p>
    <w:p w:rsidR="006B17F2" w:rsidRDefault="006B17F2" w:rsidP="00DA3EF7">
      <w:pPr>
        <w:jc w:val="center"/>
        <w:rPr>
          <w:sz w:val="22"/>
          <w:szCs w:val="22"/>
        </w:rPr>
      </w:pPr>
    </w:p>
    <w:p w:rsidR="006B17F2" w:rsidRDefault="006B17F2" w:rsidP="00DA3EF7">
      <w:pPr>
        <w:jc w:val="center"/>
        <w:rPr>
          <w:sz w:val="22"/>
          <w:szCs w:val="22"/>
        </w:rPr>
      </w:pPr>
    </w:p>
    <w:p w:rsidR="006B17F2" w:rsidRDefault="006B17F2" w:rsidP="00DA3EF7">
      <w:pPr>
        <w:jc w:val="center"/>
        <w:rPr>
          <w:sz w:val="22"/>
          <w:szCs w:val="22"/>
        </w:rPr>
      </w:pPr>
    </w:p>
    <w:p w:rsidR="006B17F2" w:rsidRPr="00D11F12" w:rsidRDefault="006B17F2" w:rsidP="00DA3EF7">
      <w:pPr>
        <w:jc w:val="center"/>
        <w:rPr>
          <w:sz w:val="22"/>
          <w:szCs w:val="22"/>
        </w:rPr>
      </w:pPr>
    </w:p>
    <w:p w:rsidR="006E552B" w:rsidRPr="00D11F12" w:rsidRDefault="006E552B" w:rsidP="006E552B">
      <w:pPr>
        <w:ind w:left="-284" w:right="-663"/>
        <w:jc w:val="center"/>
        <w:rPr>
          <w:lang w:val="sv-SE"/>
        </w:rPr>
      </w:pPr>
      <w:r w:rsidRPr="00D11F12">
        <w:rPr>
          <w:lang w:val="sv-SE"/>
        </w:rPr>
        <w:t>Ben Gardiner*, Ron Martin**, Peter Sunley***</w:t>
      </w:r>
      <w:r w:rsidR="006B17F2">
        <w:rPr>
          <w:lang w:val="sv-SE"/>
        </w:rPr>
        <w:t xml:space="preserve"> </w:t>
      </w:r>
      <w:r w:rsidRPr="00D11F12">
        <w:rPr>
          <w:lang w:val="sv-SE"/>
        </w:rPr>
        <w:t>and Peter Tyler****</w:t>
      </w:r>
      <w:r w:rsidR="006B17F2" w:rsidRPr="00D11F12">
        <w:rPr>
          <w:vertAlign w:val="superscript"/>
          <w:lang w:val="sv-SE"/>
        </w:rPr>
        <w:sym w:font="Wingdings 2" w:char="F085"/>
      </w:r>
      <w:r w:rsidRPr="00D11F12">
        <w:rPr>
          <w:lang w:val="sv-SE"/>
        </w:rPr>
        <w:t xml:space="preserve"> </w:t>
      </w:r>
    </w:p>
    <w:p w:rsidR="006E552B" w:rsidRDefault="006E552B" w:rsidP="006E552B">
      <w:pPr>
        <w:ind w:left="360"/>
        <w:jc w:val="center"/>
      </w:pPr>
    </w:p>
    <w:p w:rsidR="006B17F2" w:rsidRDefault="006B17F2" w:rsidP="006E552B">
      <w:pPr>
        <w:ind w:left="360"/>
        <w:jc w:val="center"/>
      </w:pPr>
    </w:p>
    <w:p w:rsidR="006B17F2" w:rsidRDefault="006B17F2" w:rsidP="006E552B">
      <w:pPr>
        <w:ind w:left="360"/>
        <w:jc w:val="center"/>
      </w:pPr>
    </w:p>
    <w:p w:rsidR="006B17F2" w:rsidRDefault="006B17F2" w:rsidP="006E552B">
      <w:pPr>
        <w:ind w:left="360"/>
        <w:jc w:val="center"/>
      </w:pPr>
    </w:p>
    <w:p w:rsidR="006B17F2" w:rsidRPr="00D11F12" w:rsidRDefault="006B17F2" w:rsidP="006E552B">
      <w:pPr>
        <w:ind w:left="360"/>
        <w:jc w:val="center"/>
      </w:pPr>
    </w:p>
    <w:p w:rsidR="006E552B" w:rsidRPr="00D11F12" w:rsidRDefault="006E552B" w:rsidP="006E552B">
      <w:pPr>
        <w:ind w:right="-521"/>
        <w:jc w:val="center"/>
      </w:pPr>
      <w:r w:rsidRPr="00D11F12">
        <w:t>*Cambridge Econometrics and Department of Geography, University of Cambridge, CB2 3EN, UK</w:t>
      </w:r>
    </w:p>
    <w:p w:rsidR="006E552B" w:rsidRPr="00D11F12" w:rsidRDefault="006E552B" w:rsidP="006E552B">
      <w:pPr>
        <w:ind w:left="360"/>
        <w:jc w:val="center"/>
      </w:pPr>
      <w:r w:rsidRPr="00D11F12">
        <w:t>** Department of Geography, University of Cambridge, CB2 3EN, UK</w:t>
      </w:r>
    </w:p>
    <w:p w:rsidR="006E552B" w:rsidRPr="00D11F12" w:rsidRDefault="006E552B" w:rsidP="006E552B">
      <w:pPr>
        <w:ind w:left="360"/>
        <w:jc w:val="center"/>
      </w:pPr>
      <w:r w:rsidRPr="00D11F12">
        <w:t>*** School of Geography and Environment, University of Southampton, Southampton, SO17 1BJ, UK</w:t>
      </w:r>
    </w:p>
    <w:p w:rsidR="006E552B" w:rsidRPr="00D11F12" w:rsidRDefault="006E552B" w:rsidP="006E552B">
      <w:pPr>
        <w:ind w:left="360"/>
        <w:jc w:val="center"/>
      </w:pPr>
      <w:r w:rsidRPr="00D11F12">
        <w:t>**** Department of Land Economy, University of Cambridge, CB3 9EP, UK</w:t>
      </w:r>
    </w:p>
    <w:p w:rsidR="006E552B" w:rsidRPr="00D11F12" w:rsidRDefault="006E552B" w:rsidP="006E552B">
      <w:pPr>
        <w:jc w:val="center"/>
      </w:pPr>
      <w:r w:rsidRPr="00D11F12">
        <w:rPr>
          <w:vertAlign w:val="superscript"/>
          <w:lang w:val="sv-SE"/>
        </w:rPr>
        <w:sym w:font="Wingdings 2" w:char="F085"/>
      </w:r>
      <w:r w:rsidRPr="00D11F12">
        <w:t xml:space="preserve">Corresponding author: Pete Tyler, </w:t>
      </w:r>
      <w:r w:rsidRPr="00D11F12">
        <w:rPr>
          <w:i/>
        </w:rPr>
        <w:t>email</w:t>
      </w:r>
      <w:r w:rsidRPr="00D11F12">
        <w:t xml:space="preserve"> pt23@cam.ac.uk</w:t>
      </w:r>
    </w:p>
    <w:p w:rsidR="00DA3EF7" w:rsidRPr="00D11F12" w:rsidRDefault="00DA3EF7" w:rsidP="00DA3EF7">
      <w:pPr>
        <w:jc w:val="center"/>
      </w:pPr>
    </w:p>
    <w:p w:rsidR="00DA3EF7" w:rsidRPr="00D11F12" w:rsidRDefault="00DA3EF7" w:rsidP="00DA3EF7">
      <w:pPr>
        <w:jc w:val="center"/>
      </w:pPr>
    </w:p>
    <w:p w:rsidR="00DA3EF7" w:rsidRPr="00D11F12" w:rsidRDefault="00DA3EF7" w:rsidP="00DA3EF7">
      <w:pPr>
        <w:jc w:val="center"/>
      </w:pPr>
    </w:p>
    <w:p w:rsidR="00DA3EF7" w:rsidRPr="00D11F12" w:rsidRDefault="00DA3EF7" w:rsidP="00DA3EF7">
      <w:pPr>
        <w:jc w:val="center"/>
      </w:pPr>
    </w:p>
    <w:p w:rsidR="00DA3EF7" w:rsidRPr="00D11F12" w:rsidRDefault="00DA3EF7" w:rsidP="00DA3EF7">
      <w:pPr>
        <w:jc w:val="center"/>
      </w:pPr>
    </w:p>
    <w:p w:rsidR="00091686" w:rsidRPr="00D11F12" w:rsidRDefault="00091686" w:rsidP="00DA3EF7">
      <w:pPr>
        <w:jc w:val="center"/>
      </w:pPr>
    </w:p>
    <w:p w:rsidR="00091686" w:rsidRPr="00D11F12" w:rsidRDefault="00091686" w:rsidP="00DA3EF7">
      <w:pPr>
        <w:jc w:val="center"/>
      </w:pPr>
    </w:p>
    <w:p w:rsidR="00091686" w:rsidRPr="00D11F12" w:rsidRDefault="00091686" w:rsidP="00DA3EF7">
      <w:pPr>
        <w:jc w:val="center"/>
      </w:pPr>
    </w:p>
    <w:p w:rsidR="00091686" w:rsidRPr="00D11F12" w:rsidRDefault="00C03E53" w:rsidP="00DA3EF7">
      <w:pPr>
        <w:jc w:val="center"/>
      </w:pPr>
      <w:r>
        <w:t>April</w:t>
      </w:r>
      <w:r w:rsidR="007C4BCE">
        <w:t xml:space="preserve"> </w:t>
      </w:r>
    </w:p>
    <w:p w:rsidR="00091686" w:rsidRPr="00D11F12" w:rsidRDefault="00DB4FAF" w:rsidP="00DA3EF7">
      <w:pPr>
        <w:jc w:val="center"/>
      </w:pPr>
      <w:r w:rsidRPr="00D11F12">
        <w:t>201</w:t>
      </w:r>
      <w:r w:rsidR="0005086B">
        <w:t>4</w:t>
      </w:r>
    </w:p>
    <w:p w:rsidR="00DA3EF7" w:rsidRPr="00D11F12" w:rsidRDefault="00DA3EF7" w:rsidP="00DA3EF7">
      <w:pPr>
        <w:jc w:val="center"/>
      </w:pPr>
    </w:p>
    <w:p w:rsidR="00DA3EF7" w:rsidRPr="00D11F12" w:rsidRDefault="00DA3EF7" w:rsidP="00DA3EF7">
      <w:pPr>
        <w:jc w:val="center"/>
      </w:pPr>
    </w:p>
    <w:p w:rsidR="00DA3EF7" w:rsidRPr="00D11F12" w:rsidRDefault="00DA3EF7" w:rsidP="00DA3EF7">
      <w:pPr>
        <w:jc w:val="center"/>
      </w:pPr>
    </w:p>
    <w:p w:rsidR="001B46DC" w:rsidRPr="00D11F12" w:rsidRDefault="001B46DC" w:rsidP="00DA3EF7">
      <w:pPr>
        <w:jc w:val="center"/>
      </w:pPr>
      <w:r w:rsidRPr="00D11F12">
        <w:t>Acknowledgements:</w:t>
      </w:r>
    </w:p>
    <w:p w:rsidR="00DA3EF7" w:rsidRPr="00D11F12" w:rsidRDefault="001B46DC" w:rsidP="00DA3EF7">
      <w:pPr>
        <w:jc w:val="center"/>
      </w:pPr>
      <w:r w:rsidRPr="00D11F12">
        <w:t xml:space="preserve">The research for this paper is part of an ESRC-funded project on </w:t>
      </w:r>
      <w:r w:rsidRPr="00D11F12">
        <w:rPr>
          <w:i/>
        </w:rPr>
        <w:t>How Regions React to Recession: Resilience, Hysteresis and Long Run Impacts</w:t>
      </w:r>
      <w:r w:rsidRPr="00D11F12">
        <w:t xml:space="preserve"> (Grant  </w:t>
      </w:r>
      <w:r w:rsidR="00091686" w:rsidRPr="00D11F12">
        <w:t>ES/1035811/1)</w:t>
      </w:r>
      <w:r w:rsidRPr="00D11F12">
        <w:t xml:space="preserve">  </w:t>
      </w:r>
    </w:p>
    <w:p w:rsidR="00DA3EF7" w:rsidRPr="00D11F12" w:rsidRDefault="00DA3EF7" w:rsidP="00DA3EF7">
      <w:pPr>
        <w:jc w:val="center"/>
      </w:pPr>
    </w:p>
    <w:p w:rsidR="00E641F2" w:rsidRPr="00D11F12" w:rsidRDefault="00E641F2" w:rsidP="00DA3EF7">
      <w:pPr>
        <w:spacing w:line="340" w:lineRule="exact"/>
        <w:jc w:val="both"/>
      </w:pPr>
    </w:p>
    <w:p w:rsidR="001B28A2" w:rsidRPr="007C01B7" w:rsidRDefault="001B28A2" w:rsidP="00DA3EF7">
      <w:pPr>
        <w:spacing w:line="340" w:lineRule="exact"/>
        <w:jc w:val="both"/>
        <w:rPr>
          <w:b/>
        </w:rPr>
      </w:pPr>
      <w:r w:rsidRPr="007C01B7">
        <w:rPr>
          <w:b/>
        </w:rPr>
        <w:lastRenderedPageBreak/>
        <w:t>Abstract</w:t>
      </w:r>
    </w:p>
    <w:p w:rsidR="007C01B7" w:rsidRDefault="007C01B7" w:rsidP="007C01B7">
      <w:pPr>
        <w:spacing w:line="276" w:lineRule="auto"/>
        <w:jc w:val="both"/>
        <w:rPr>
          <w:rFonts w:cs="Arial"/>
          <w:sz w:val="22"/>
          <w:szCs w:val="22"/>
        </w:rPr>
      </w:pPr>
    </w:p>
    <w:p w:rsidR="0028626E" w:rsidRPr="001D6CFB" w:rsidRDefault="006B290D" w:rsidP="001D6CFB">
      <w:pPr>
        <w:spacing w:line="480" w:lineRule="auto"/>
        <w:jc w:val="both"/>
        <w:rPr>
          <w:rFonts w:cs="Calibri"/>
        </w:rPr>
      </w:pPr>
      <w:r w:rsidRPr="001D6CFB">
        <w:rPr>
          <w:rFonts w:cs="Calibri"/>
        </w:rPr>
        <w:t xml:space="preserve">Local Enterprise Partnerships (LEPs) have now been adopted in England as part of the </w:t>
      </w:r>
      <w:r w:rsidR="006B17F2" w:rsidRPr="001D6CFB">
        <w:rPr>
          <w:rFonts w:cs="Calibri"/>
        </w:rPr>
        <w:t xml:space="preserve">UK Government’s </w:t>
      </w:r>
      <w:r w:rsidRPr="001D6CFB">
        <w:rPr>
          <w:rFonts w:cs="Calibri"/>
        </w:rPr>
        <w:t>new localism agenda. There is keen interest in understanding how they may be able to make an effective contribution to the narrowing of spatial disparities and, in line with current government thinking, help to spatially rebalance the English economy. If the LEPs are to develop and deliver effective policies it is important to know more about the factors that affect local growth rates. This article seeks to advance this agenda. It uses the shift share technique to assess the contribution of industry-mix relative to local-growth components in explaining variations in growth across LEP areas.</w:t>
      </w:r>
      <w:r w:rsidR="005C0668" w:rsidRPr="001D6CFB">
        <w:rPr>
          <w:rFonts w:cs="Calibri"/>
        </w:rPr>
        <w:t xml:space="preserve"> </w:t>
      </w:r>
    </w:p>
    <w:p w:rsidR="001852E2" w:rsidRPr="006B17F2" w:rsidRDefault="001852E2" w:rsidP="00DA3EF7">
      <w:pPr>
        <w:spacing w:line="340" w:lineRule="exact"/>
        <w:jc w:val="both"/>
        <w:rPr>
          <w:sz w:val="22"/>
          <w:szCs w:val="22"/>
        </w:rPr>
      </w:pPr>
    </w:p>
    <w:p w:rsidR="00A47DA0" w:rsidRPr="006B17F2" w:rsidRDefault="006B290D" w:rsidP="003F738E">
      <w:pPr>
        <w:tabs>
          <w:tab w:val="center" w:pos="3965"/>
        </w:tabs>
        <w:spacing w:line="340" w:lineRule="exact"/>
        <w:jc w:val="both"/>
        <w:rPr>
          <w:b/>
          <w:sz w:val="22"/>
        </w:rPr>
      </w:pPr>
      <w:r w:rsidRPr="006B290D">
        <w:rPr>
          <w:b/>
          <w:sz w:val="22"/>
        </w:rPr>
        <w:t>Key Words</w:t>
      </w:r>
      <w:r w:rsidRPr="006B290D">
        <w:rPr>
          <w:b/>
          <w:sz w:val="22"/>
        </w:rPr>
        <w:tab/>
      </w:r>
    </w:p>
    <w:p w:rsidR="007C01B7" w:rsidRPr="006B17F2" w:rsidRDefault="007C01B7" w:rsidP="00A47DA0">
      <w:pPr>
        <w:jc w:val="both"/>
        <w:rPr>
          <w:sz w:val="22"/>
        </w:rPr>
      </w:pPr>
    </w:p>
    <w:p w:rsidR="00E5444D" w:rsidRPr="001D6CFB" w:rsidRDefault="00545862" w:rsidP="001D6CFB">
      <w:pPr>
        <w:spacing w:line="480" w:lineRule="auto"/>
        <w:jc w:val="both"/>
      </w:pPr>
      <w:r w:rsidRPr="001D6CFB">
        <w:t xml:space="preserve">Local </w:t>
      </w:r>
      <w:r w:rsidR="006B17F2" w:rsidRPr="001D6CFB">
        <w:t>e</w:t>
      </w:r>
      <w:r w:rsidR="00CB480B" w:rsidRPr="001D6CFB">
        <w:t xml:space="preserve">conomic </w:t>
      </w:r>
      <w:r w:rsidR="006B17F2" w:rsidRPr="001D6CFB">
        <w:t>g</w:t>
      </w:r>
      <w:r w:rsidR="00CB480B" w:rsidRPr="001D6CFB">
        <w:t xml:space="preserve">rowth </w:t>
      </w:r>
      <w:r w:rsidR="006B17F2" w:rsidRPr="001D6CFB">
        <w:t>p</w:t>
      </w:r>
      <w:r w:rsidR="00CB480B" w:rsidRPr="001D6CFB">
        <w:t>olicy</w:t>
      </w:r>
      <w:r w:rsidR="00A47DA0" w:rsidRPr="001D6CFB">
        <w:t xml:space="preserve"> </w:t>
      </w:r>
      <w:r w:rsidR="002B19CD">
        <w:t xml:space="preserve"> </w:t>
      </w:r>
      <w:r w:rsidR="006B17F2" w:rsidRPr="001D6CFB">
        <w:t xml:space="preserve">  </w:t>
      </w:r>
      <w:r w:rsidR="002B19CD">
        <w:t>E</w:t>
      </w:r>
      <w:r w:rsidR="004E19EA" w:rsidRPr="001D6CFB">
        <w:t>conomic structure</w:t>
      </w:r>
      <w:r w:rsidR="00E5444D" w:rsidRPr="001D6CFB">
        <w:t xml:space="preserve">  </w:t>
      </w:r>
      <w:r w:rsidR="002B19CD">
        <w:t xml:space="preserve">   L</w:t>
      </w:r>
      <w:r w:rsidR="00FC534D" w:rsidRPr="001D6CFB">
        <w:t>ocal</w:t>
      </w:r>
      <w:r w:rsidR="00E5444D" w:rsidRPr="001D6CFB">
        <w:t xml:space="preserve"> </w:t>
      </w:r>
      <w:r w:rsidR="00FC534D" w:rsidRPr="001D6CFB">
        <w:t xml:space="preserve">competiveness </w:t>
      </w:r>
    </w:p>
    <w:p w:rsidR="00A47DA0" w:rsidRPr="001D6CFB" w:rsidRDefault="002B19CD" w:rsidP="001D6CFB">
      <w:pPr>
        <w:spacing w:line="480" w:lineRule="auto"/>
        <w:jc w:val="both"/>
      </w:pPr>
      <w:r>
        <w:t>U</w:t>
      </w:r>
      <w:r w:rsidR="003969C0" w:rsidRPr="001D6CFB">
        <w:t>rbanisation</w:t>
      </w:r>
    </w:p>
    <w:p w:rsidR="001852E2" w:rsidRPr="00D11F12" w:rsidRDefault="001852E2" w:rsidP="00DA3EF7">
      <w:pPr>
        <w:spacing w:line="340" w:lineRule="exact"/>
        <w:jc w:val="both"/>
      </w:pPr>
    </w:p>
    <w:p w:rsidR="00A47DA0" w:rsidRPr="00D11F12" w:rsidRDefault="00A47DA0" w:rsidP="00091686">
      <w:pPr>
        <w:jc w:val="both"/>
      </w:pPr>
    </w:p>
    <w:p w:rsidR="00595BCF" w:rsidRPr="00A36808" w:rsidRDefault="00595BCF" w:rsidP="00595BCF">
      <w:pPr>
        <w:spacing w:line="340" w:lineRule="exact"/>
        <w:jc w:val="both"/>
        <w:rPr>
          <w:b/>
          <w:sz w:val="28"/>
          <w:szCs w:val="28"/>
        </w:rPr>
      </w:pPr>
      <w:r w:rsidRPr="007410E0">
        <w:br w:type="page"/>
      </w:r>
      <w:r w:rsidRPr="00A36808">
        <w:rPr>
          <w:b/>
          <w:sz w:val="28"/>
          <w:szCs w:val="28"/>
        </w:rPr>
        <w:lastRenderedPageBreak/>
        <w:t xml:space="preserve">1. Introduction </w:t>
      </w:r>
    </w:p>
    <w:p w:rsidR="00C83BF7" w:rsidRPr="001D6CFB" w:rsidRDefault="001866EB" w:rsidP="001D6CFB">
      <w:pPr>
        <w:spacing w:before="100" w:beforeAutospacing="1" w:after="100" w:afterAutospacing="1" w:line="480" w:lineRule="auto"/>
        <w:jc w:val="both"/>
        <w:rPr>
          <w:rFonts w:cs="Arial"/>
        </w:rPr>
      </w:pPr>
      <w:r w:rsidRPr="001D6CFB">
        <w:rPr>
          <w:rFonts w:cs="Arial"/>
        </w:rPr>
        <w:t>Local Enterprise Partnerships</w:t>
      </w:r>
      <w:r w:rsidR="00572F7D" w:rsidRPr="001D6CFB">
        <w:rPr>
          <w:rFonts w:cs="Arial"/>
        </w:rPr>
        <w:t xml:space="preserve"> (LEPs)</w:t>
      </w:r>
      <w:r w:rsidRPr="001D6CFB">
        <w:rPr>
          <w:rFonts w:cs="Arial"/>
        </w:rPr>
        <w:t xml:space="preserve"> have now been adopted as the basis for local economic policy in England</w:t>
      </w:r>
      <w:r w:rsidR="00B63AB3" w:rsidRPr="001D6CFB">
        <w:rPr>
          <w:rFonts w:cs="Arial"/>
        </w:rPr>
        <w:t xml:space="preserve"> as part of the </w:t>
      </w:r>
      <w:r w:rsidR="006B17F2" w:rsidRPr="001D6CFB">
        <w:rPr>
          <w:rFonts w:cs="Arial"/>
        </w:rPr>
        <w:t xml:space="preserve">UK Government’s </w:t>
      </w:r>
      <w:r w:rsidRPr="001D6CFB">
        <w:rPr>
          <w:rFonts w:cs="Arial"/>
        </w:rPr>
        <w:t xml:space="preserve">new localism agenda </w:t>
      </w:r>
      <w:r w:rsidR="00B63AB3" w:rsidRPr="001D6CFB">
        <w:rPr>
          <w:rFonts w:cs="Arial"/>
        </w:rPr>
        <w:t>(</w:t>
      </w:r>
      <w:r w:rsidR="004E19EA" w:rsidRPr="001D6CFB">
        <w:rPr>
          <w:rFonts w:cs="Arial"/>
        </w:rPr>
        <w:t>BIS, 2010)</w:t>
      </w:r>
      <w:r w:rsidRPr="001D6CFB">
        <w:rPr>
          <w:rFonts w:cs="Arial"/>
        </w:rPr>
        <w:t>.</w:t>
      </w:r>
      <w:r w:rsidR="00572F7D" w:rsidRPr="001D6CFB">
        <w:rPr>
          <w:rFonts w:cs="Arial"/>
        </w:rPr>
        <w:t xml:space="preserve"> </w:t>
      </w:r>
      <w:r w:rsidRPr="001D6CFB">
        <w:rPr>
          <w:rFonts w:cs="Arial"/>
        </w:rPr>
        <w:t xml:space="preserve"> </w:t>
      </w:r>
      <w:r w:rsidR="00545862" w:rsidRPr="001D6CFB">
        <w:rPr>
          <w:rFonts w:cs="Arial"/>
        </w:rPr>
        <w:t xml:space="preserve"> </w:t>
      </w:r>
      <w:r w:rsidR="00572F7D" w:rsidRPr="001D6CFB">
        <w:rPr>
          <w:rFonts w:cs="Arial"/>
        </w:rPr>
        <w:t>Th</w:t>
      </w:r>
      <w:r w:rsidR="00377CD0" w:rsidRPr="001D6CFB">
        <w:rPr>
          <w:rFonts w:cs="Arial"/>
        </w:rPr>
        <w:t xml:space="preserve">ere is keen interest </w:t>
      </w:r>
      <w:r w:rsidR="00572F7D" w:rsidRPr="001D6CFB">
        <w:rPr>
          <w:rFonts w:cs="Arial"/>
        </w:rPr>
        <w:t>i</w:t>
      </w:r>
      <w:r w:rsidR="00377CD0" w:rsidRPr="001D6CFB">
        <w:rPr>
          <w:rFonts w:cs="Arial"/>
        </w:rPr>
        <w:t>n understanding how they may be able to make an effective contribution to the narrowing of spatial disparities and</w:t>
      </w:r>
      <w:r w:rsidR="00282F75" w:rsidRPr="001D6CFB">
        <w:rPr>
          <w:rFonts w:cs="Arial"/>
        </w:rPr>
        <w:t>,</w:t>
      </w:r>
      <w:r w:rsidR="00377CD0" w:rsidRPr="001D6CFB">
        <w:rPr>
          <w:rFonts w:cs="Arial"/>
        </w:rPr>
        <w:t xml:space="preserve"> in line with current government </w:t>
      </w:r>
      <w:r w:rsidR="00C83BF7" w:rsidRPr="001D6CFB">
        <w:rPr>
          <w:rFonts w:cs="Arial"/>
        </w:rPr>
        <w:t>aspirations</w:t>
      </w:r>
      <w:r w:rsidR="00377CD0" w:rsidRPr="001D6CFB">
        <w:rPr>
          <w:rFonts w:cs="Arial"/>
        </w:rPr>
        <w:t xml:space="preserve"> help to spatial</w:t>
      </w:r>
      <w:r w:rsidR="00B779BA" w:rsidRPr="001D6CFB">
        <w:rPr>
          <w:rFonts w:cs="Arial"/>
        </w:rPr>
        <w:t>ly</w:t>
      </w:r>
      <w:r w:rsidR="00377CD0" w:rsidRPr="001D6CFB">
        <w:rPr>
          <w:rFonts w:cs="Arial"/>
        </w:rPr>
        <w:t xml:space="preserve"> rebalance the English economy (See Gardiner et al (2013)).</w:t>
      </w:r>
      <w:r w:rsidR="00BC4D91" w:rsidRPr="001D6CFB">
        <w:rPr>
          <w:rFonts w:cs="Arial"/>
        </w:rPr>
        <w:t xml:space="preserve"> </w:t>
      </w:r>
      <w:r w:rsidR="00C83BF7" w:rsidRPr="001D6CFB">
        <w:rPr>
          <w:rFonts w:cs="Arial"/>
        </w:rPr>
        <w:t xml:space="preserve">However, the dynamics of long-run local growth and their causes remain poorly understood, and many local growth models are untouched by empirical investigation. Yet </w:t>
      </w:r>
      <w:r w:rsidR="004E19EA" w:rsidRPr="001D6CFB">
        <w:rPr>
          <w:rFonts w:cs="Arial"/>
        </w:rPr>
        <w:t>if the</w:t>
      </w:r>
      <w:r w:rsidR="00BC4D91" w:rsidRPr="001D6CFB">
        <w:rPr>
          <w:rFonts w:cs="Arial"/>
        </w:rPr>
        <w:t xml:space="preserve"> LEPs are to develop and deliver effective policies the</w:t>
      </w:r>
      <w:r w:rsidR="00545862" w:rsidRPr="001D6CFB">
        <w:rPr>
          <w:rFonts w:cs="Arial"/>
        </w:rPr>
        <w:t xml:space="preserve">n it is important to </w:t>
      </w:r>
      <w:r w:rsidR="00BC4D91" w:rsidRPr="001D6CFB">
        <w:rPr>
          <w:rFonts w:cs="Arial"/>
        </w:rPr>
        <w:t xml:space="preserve">know more about the factors that </w:t>
      </w:r>
      <w:r w:rsidR="00545862" w:rsidRPr="001D6CFB">
        <w:rPr>
          <w:rFonts w:cs="Arial"/>
        </w:rPr>
        <w:t xml:space="preserve">determine local economic growth.  </w:t>
      </w:r>
      <w:r w:rsidR="00EA103F" w:rsidRPr="001D6CFB">
        <w:rPr>
          <w:rFonts w:cs="Arial"/>
        </w:rPr>
        <w:t xml:space="preserve"> </w:t>
      </w:r>
      <w:r w:rsidR="00F45FAB" w:rsidRPr="001D6CFB">
        <w:rPr>
          <w:rFonts w:cs="Arial"/>
        </w:rPr>
        <w:t>This article begins by examining the economic performance of LEPs</w:t>
      </w:r>
      <w:r w:rsidR="006B17F2" w:rsidRPr="001D6CFB">
        <w:rPr>
          <w:rFonts w:cs="Arial"/>
        </w:rPr>
        <w:t xml:space="preserve">, together </w:t>
      </w:r>
      <w:r w:rsidR="004E19EA" w:rsidRPr="001D6CFB">
        <w:rPr>
          <w:rFonts w:cs="Arial"/>
        </w:rPr>
        <w:t>with the</w:t>
      </w:r>
      <w:r w:rsidR="00F45FAB" w:rsidRPr="001D6CFB">
        <w:rPr>
          <w:rFonts w:cs="Arial"/>
        </w:rPr>
        <w:t xml:space="preserve"> </w:t>
      </w:r>
      <w:r w:rsidR="00B8132E" w:rsidRPr="001D6CFB">
        <w:rPr>
          <w:rFonts w:cs="Arial"/>
        </w:rPr>
        <w:t>sub-areas</w:t>
      </w:r>
      <w:r w:rsidR="00F45FAB" w:rsidRPr="001D6CFB">
        <w:rPr>
          <w:rFonts w:cs="Arial"/>
        </w:rPr>
        <w:t xml:space="preserve"> of Scotland and Wales</w:t>
      </w:r>
      <w:r w:rsidR="006B290D" w:rsidRPr="001D6CFB">
        <w:rPr>
          <w:rStyle w:val="FootnoteReference"/>
          <w:rFonts w:cs="Arial"/>
          <w:b/>
        </w:rPr>
        <w:footnoteReference w:id="1"/>
      </w:r>
      <w:r w:rsidR="00C55D80" w:rsidRPr="001D6CFB">
        <w:rPr>
          <w:rFonts w:cs="Arial"/>
        </w:rPr>
        <w:t>,</w:t>
      </w:r>
      <w:r w:rsidR="00F45FAB" w:rsidRPr="001D6CFB">
        <w:rPr>
          <w:rFonts w:cs="Arial"/>
        </w:rPr>
        <w:t xml:space="preserve"> over the last thirty years to provide something of a long-run perspective.  The article </w:t>
      </w:r>
      <w:r w:rsidR="005820F0" w:rsidRPr="001D6CFB">
        <w:rPr>
          <w:rFonts w:cs="Arial"/>
        </w:rPr>
        <w:t xml:space="preserve">uses </w:t>
      </w:r>
      <w:r w:rsidR="00465A1D" w:rsidRPr="001D6CFB">
        <w:rPr>
          <w:rFonts w:cs="Arial"/>
        </w:rPr>
        <w:t>the shift-share technique to</w:t>
      </w:r>
      <w:r w:rsidR="008A137E" w:rsidRPr="001D6CFB">
        <w:rPr>
          <w:rFonts w:cs="Arial"/>
        </w:rPr>
        <w:t xml:space="preserve"> </w:t>
      </w:r>
      <w:r w:rsidR="006B17F2" w:rsidRPr="001D6CFB">
        <w:rPr>
          <w:rFonts w:cs="Arial"/>
        </w:rPr>
        <w:t xml:space="preserve">identify the contribution </w:t>
      </w:r>
      <w:r w:rsidR="00F45FAB" w:rsidRPr="001D6CFB">
        <w:rPr>
          <w:rFonts w:cs="Arial"/>
        </w:rPr>
        <w:t>of local economic structure</w:t>
      </w:r>
      <w:r w:rsidR="008A137E" w:rsidRPr="001D6CFB">
        <w:rPr>
          <w:rFonts w:cs="Arial"/>
        </w:rPr>
        <w:t xml:space="preserve"> </w:t>
      </w:r>
      <w:r w:rsidR="002B19CD">
        <w:rPr>
          <w:rFonts w:cs="Arial"/>
        </w:rPr>
        <w:t>and local competitive</w:t>
      </w:r>
      <w:r w:rsidR="006B17F2" w:rsidRPr="001D6CFB">
        <w:rPr>
          <w:rFonts w:cs="Arial"/>
        </w:rPr>
        <w:t xml:space="preserve">ness </w:t>
      </w:r>
      <w:r w:rsidR="00616D50" w:rsidRPr="001D6CFB">
        <w:rPr>
          <w:rFonts w:cs="Arial"/>
        </w:rPr>
        <w:t xml:space="preserve">factors </w:t>
      </w:r>
      <w:r w:rsidR="006B17F2" w:rsidRPr="001D6CFB">
        <w:rPr>
          <w:rFonts w:cs="Arial"/>
        </w:rPr>
        <w:t>to these local differential growth paths</w:t>
      </w:r>
      <w:r w:rsidR="00450498" w:rsidRPr="001D6CFB">
        <w:rPr>
          <w:rFonts w:cs="Arial"/>
        </w:rPr>
        <w:t>.</w:t>
      </w:r>
      <w:r w:rsidR="00FC534D" w:rsidRPr="001D6CFB">
        <w:rPr>
          <w:rFonts w:cs="Arial"/>
        </w:rPr>
        <w:t xml:space="preserve"> </w:t>
      </w:r>
      <w:r w:rsidR="006B17F2" w:rsidRPr="001D6CFB">
        <w:rPr>
          <w:rFonts w:cs="Arial"/>
        </w:rPr>
        <w:t xml:space="preserve"> </w:t>
      </w:r>
      <w:r w:rsidR="00C83BF7" w:rsidRPr="001D6CFB">
        <w:rPr>
          <w:rFonts w:cs="Arial"/>
        </w:rPr>
        <w:t xml:space="preserve">Recent theoretical literature has repeatedly highlighted the importance of industrial structure and agglomeration economies as determinants of local growth, so this paper seeks to examine their relative significance to the growth trajectories of the UK’s LEPs. </w:t>
      </w:r>
    </w:p>
    <w:p w:rsidR="00C83BF7" w:rsidRDefault="006B290D">
      <w:pPr>
        <w:jc w:val="both"/>
        <w:rPr>
          <w:b/>
          <w:sz w:val="28"/>
        </w:rPr>
      </w:pPr>
      <w:r w:rsidRPr="006B290D">
        <w:rPr>
          <w:b/>
          <w:sz w:val="28"/>
        </w:rPr>
        <w:t>2. Long-run evolutions in output, employment and productivity growth across LEPs and areas of Scotland and Wales</w:t>
      </w:r>
    </w:p>
    <w:p w:rsidR="00CA6B40" w:rsidRPr="001D6CFB" w:rsidRDefault="00F26E4E" w:rsidP="001D6CFB">
      <w:pPr>
        <w:spacing w:before="100" w:beforeAutospacing="1" w:after="100" w:afterAutospacing="1" w:line="480" w:lineRule="auto"/>
        <w:jc w:val="both"/>
        <w:rPr>
          <w:rFonts w:cs="Arial"/>
        </w:rPr>
      </w:pPr>
      <w:r w:rsidRPr="001D6CFB">
        <w:rPr>
          <w:rFonts w:cs="Arial"/>
        </w:rPr>
        <w:lastRenderedPageBreak/>
        <w:t>There has been considerable variation in the pattern of local growth across local areas in Gre</w:t>
      </w:r>
      <w:r w:rsidR="00837F12" w:rsidRPr="001D6CFB">
        <w:rPr>
          <w:rFonts w:cs="Arial"/>
        </w:rPr>
        <w:t xml:space="preserve">at </w:t>
      </w:r>
      <w:r w:rsidR="009D6274" w:rsidRPr="001D6CFB">
        <w:rPr>
          <w:rFonts w:cs="Arial"/>
        </w:rPr>
        <w:t>Britain since 1981</w:t>
      </w:r>
      <w:r w:rsidR="00697FF3" w:rsidRPr="001D6CFB">
        <w:rPr>
          <w:rFonts w:cs="Arial"/>
        </w:rPr>
        <w:t xml:space="preserve">, whether one considers output, employment, or labour productivity. </w:t>
      </w:r>
      <w:r w:rsidR="00CA6B40" w:rsidRPr="001D6CFB">
        <w:rPr>
          <w:rFonts w:cs="Arial"/>
        </w:rPr>
        <w:t>Figure</w:t>
      </w:r>
      <w:r w:rsidR="009D6274" w:rsidRPr="001D6CFB">
        <w:rPr>
          <w:rFonts w:cs="Arial"/>
        </w:rPr>
        <w:t xml:space="preserve"> 1</w:t>
      </w:r>
      <w:r w:rsidR="00697FF3" w:rsidRPr="001D6CFB">
        <w:rPr>
          <w:rFonts w:cs="Arial"/>
        </w:rPr>
        <w:t xml:space="preserve"> presents this variation by ranking LEP area productivity annual growth rates over 1981-2011, and showing how </w:t>
      </w:r>
      <w:r w:rsidR="006B17F2" w:rsidRPr="001D6CFB">
        <w:rPr>
          <w:rFonts w:cs="Arial"/>
        </w:rPr>
        <w:t>these are</w:t>
      </w:r>
      <w:r w:rsidR="00697FF3" w:rsidRPr="001D6CFB">
        <w:rPr>
          <w:rFonts w:cs="Arial"/>
        </w:rPr>
        <w:t xml:space="preserve"> broken down </w:t>
      </w:r>
      <w:r w:rsidR="006B17F2" w:rsidRPr="001D6CFB">
        <w:rPr>
          <w:rFonts w:cs="Arial"/>
        </w:rPr>
        <w:t>into their</w:t>
      </w:r>
      <w:r w:rsidR="00697FF3" w:rsidRPr="001D6CFB">
        <w:rPr>
          <w:rFonts w:cs="Arial"/>
        </w:rPr>
        <w:t xml:space="preserve"> output and employment constituents</w:t>
      </w:r>
      <w:r w:rsidR="009D6274" w:rsidRPr="001D6CFB">
        <w:rPr>
          <w:rFonts w:cs="Arial"/>
        </w:rPr>
        <w:t xml:space="preserve">. </w:t>
      </w:r>
      <w:r w:rsidR="004138C4" w:rsidRPr="001D6CFB">
        <w:rPr>
          <w:rFonts w:cs="Arial"/>
        </w:rPr>
        <w:t xml:space="preserve"> </w:t>
      </w:r>
      <w:r w:rsidR="00B16E08" w:rsidRPr="001D6CFB">
        <w:rPr>
          <w:rFonts w:cs="Arial"/>
        </w:rPr>
        <w:t>Whils</w:t>
      </w:r>
      <w:r w:rsidR="009F4B4F" w:rsidRPr="001D6CFB">
        <w:rPr>
          <w:rFonts w:cs="Arial"/>
        </w:rPr>
        <w:t xml:space="preserve">t some LEPs recorded output </w:t>
      </w:r>
      <w:r w:rsidR="006B17F2" w:rsidRPr="001D6CFB">
        <w:rPr>
          <w:rFonts w:cs="Arial"/>
        </w:rPr>
        <w:t xml:space="preserve">(GVA) </w:t>
      </w:r>
      <w:r w:rsidR="00B16E08" w:rsidRPr="001D6CFB">
        <w:rPr>
          <w:rFonts w:cs="Arial"/>
        </w:rPr>
        <w:t>growth rate</w:t>
      </w:r>
      <w:r w:rsidR="009F4B4F" w:rsidRPr="001D6CFB">
        <w:rPr>
          <w:rFonts w:cs="Arial"/>
        </w:rPr>
        <w:t>s</w:t>
      </w:r>
      <w:r w:rsidR="00B16E08" w:rsidRPr="001D6CFB">
        <w:rPr>
          <w:rFonts w:cs="Arial"/>
        </w:rPr>
        <w:t xml:space="preserve"> of around 3% in others it was below 1%.  These differences </w:t>
      </w:r>
      <w:r w:rsidR="006B17F2" w:rsidRPr="001D6CFB">
        <w:rPr>
          <w:rFonts w:cs="Arial"/>
        </w:rPr>
        <w:t xml:space="preserve">have </w:t>
      </w:r>
      <w:r w:rsidR="00B16E08" w:rsidRPr="001D6CFB">
        <w:rPr>
          <w:rFonts w:cs="Arial"/>
        </w:rPr>
        <w:t>meant that a LEP like Northampton expanded its real GV</w:t>
      </w:r>
      <w:r w:rsidR="00AA304B" w:rsidRPr="001D6CFB">
        <w:rPr>
          <w:rFonts w:cs="Arial"/>
        </w:rPr>
        <w:t xml:space="preserve">A by over 150% over the </w:t>
      </w:r>
      <w:r w:rsidR="00F32199" w:rsidRPr="001D6CFB">
        <w:rPr>
          <w:rFonts w:cs="Arial"/>
        </w:rPr>
        <w:t xml:space="preserve">entire </w:t>
      </w:r>
      <w:r w:rsidR="00AA304B" w:rsidRPr="001D6CFB">
        <w:rPr>
          <w:rFonts w:cs="Arial"/>
        </w:rPr>
        <w:t>period.</w:t>
      </w:r>
      <w:r w:rsidR="006B290D" w:rsidRPr="001D6CFB">
        <w:rPr>
          <w:rStyle w:val="FootnoteReference"/>
          <w:rFonts w:cs="Arial"/>
          <w:b/>
        </w:rPr>
        <w:footnoteReference w:id="2"/>
      </w:r>
      <w:r w:rsidR="00AA304B" w:rsidRPr="001D6CFB">
        <w:rPr>
          <w:rFonts w:cs="Arial"/>
        </w:rPr>
        <w:t xml:space="preserve">  </w:t>
      </w:r>
      <w:r w:rsidR="00D34550" w:rsidRPr="001D6CFB">
        <w:rPr>
          <w:rFonts w:cs="Arial"/>
        </w:rPr>
        <w:t xml:space="preserve">By way of </w:t>
      </w:r>
      <w:r w:rsidR="00AA304B" w:rsidRPr="001D6CFB">
        <w:rPr>
          <w:rFonts w:cs="Arial"/>
        </w:rPr>
        <w:t xml:space="preserve">contrast the </w:t>
      </w:r>
      <w:r w:rsidR="00CA6B40" w:rsidRPr="001D6CFB">
        <w:rPr>
          <w:rFonts w:cs="Arial"/>
        </w:rPr>
        <w:t>slowest</w:t>
      </w:r>
      <w:r w:rsidR="00F32199" w:rsidRPr="001D6CFB">
        <w:rPr>
          <w:rFonts w:cs="Arial"/>
        </w:rPr>
        <w:t>-</w:t>
      </w:r>
      <w:r w:rsidR="00CA6B40" w:rsidRPr="001D6CFB">
        <w:rPr>
          <w:rFonts w:cs="Arial"/>
        </w:rPr>
        <w:t xml:space="preserve">growing local economy </w:t>
      </w:r>
      <w:r w:rsidR="006C1F32" w:rsidRPr="001D6CFB">
        <w:rPr>
          <w:rFonts w:cs="Arial"/>
        </w:rPr>
        <w:t xml:space="preserve">in terms of output </w:t>
      </w:r>
      <w:r w:rsidR="00CA6B40" w:rsidRPr="001D6CFB">
        <w:rPr>
          <w:rFonts w:cs="Arial"/>
        </w:rPr>
        <w:t xml:space="preserve">was </w:t>
      </w:r>
      <w:r w:rsidR="006B17F2" w:rsidRPr="001D6CFB">
        <w:rPr>
          <w:rFonts w:cs="Arial"/>
        </w:rPr>
        <w:t xml:space="preserve">the </w:t>
      </w:r>
      <w:r w:rsidR="00AA304B" w:rsidRPr="001D6CFB">
        <w:rPr>
          <w:rFonts w:cs="Arial"/>
        </w:rPr>
        <w:t xml:space="preserve">Liverpool LEP </w:t>
      </w:r>
      <w:r w:rsidR="00CA6B40" w:rsidRPr="001D6CFB">
        <w:rPr>
          <w:rFonts w:cs="Arial"/>
        </w:rPr>
        <w:t>which expanded by a m</w:t>
      </w:r>
      <w:r w:rsidR="00AA304B" w:rsidRPr="001D6CFB">
        <w:rPr>
          <w:rFonts w:cs="Arial"/>
        </w:rPr>
        <w:t>ere 28%</w:t>
      </w:r>
      <w:r w:rsidR="006C1F32" w:rsidRPr="001D6CFB">
        <w:rPr>
          <w:rFonts w:cs="Arial"/>
        </w:rPr>
        <w:t xml:space="preserve"> when the annual growth rate is compounded</w:t>
      </w:r>
      <w:r w:rsidR="00AA304B" w:rsidRPr="001D6CFB">
        <w:rPr>
          <w:rFonts w:cs="Arial"/>
        </w:rPr>
        <w:t xml:space="preserve">. </w:t>
      </w:r>
      <w:r w:rsidR="009D6274" w:rsidRPr="001D6CFB">
        <w:rPr>
          <w:rFonts w:cs="Arial"/>
        </w:rPr>
        <w:t xml:space="preserve"> </w:t>
      </w:r>
      <w:r w:rsidR="00AA304B" w:rsidRPr="001D6CFB">
        <w:rPr>
          <w:rFonts w:cs="Arial"/>
        </w:rPr>
        <w:t>These are significant differences</w:t>
      </w:r>
      <w:r w:rsidR="009D6274" w:rsidRPr="001D6CFB">
        <w:rPr>
          <w:rFonts w:cs="Arial"/>
        </w:rPr>
        <w:t xml:space="preserve">.  The </w:t>
      </w:r>
      <w:r w:rsidR="00AA304B" w:rsidRPr="001D6CFB">
        <w:rPr>
          <w:rFonts w:cs="Arial"/>
        </w:rPr>
        <w:t>physical distance between two areas is only two hundred miles</w:t>
      </w:r>
      <w:r w:rsidR="009D6274" w:rsidRPr="001D6CFB">
        <w:rPr>
          <w:rFonts w:cs="Arial"/>
        </w:rPr>
        <w:t xml:space="preserve"> but in </w:t>
      </w:r>
      <w:r w:rsidR="00AA304B" w:rsidRPr="001D6CFB">
        <w:rPr>
          <w:rFonts w:cs="Arial"/>
        </w:rPr>
        <w:t>economic terms they are poles apart.</w:t>
      </w:r>
      <w:r w:rsidR="00CA6B40" w:rsidRPr="001D6CFB">
        <w:rPr>
          <w:rFonts w:cs="Arial"/>
        </w:rPr>
        <w:t xml:space="preserve">  </w:t>
      </w:r>
      <w:r w:rsidR="00E440D7" w:rsidRPr="001D6CFB">
        <w:rPr>
          <w:rFonts w:cs="Arial"/>
        </w:rPr>
        <w:t>The</w:t>
      </w:r>
      <w:r w:rsidR="0031265F" w:rsidRPr="001D6CFB">
        <w:rPr>
          <w:rFonts w:cs="Arial"/>
        </w:rPr>
        <w:t xml:space="preserve"> best performing areas have enjoyed an annual increase in their employment of around 1-1.5% per annum.  The weakest areas have hardly grown </w:t>
      </w:r>
      <w:r w:rsidR="006B17F2" w:rsidRPr="001D6CFB">
        <w:rPr>
          <w:rFonts w:cs="Arial"/>
        </w:rPr>
        <w:t xml:space="preserve">at all, </w:t>
      </w:r>
      <w:r w:rsidR="0031265F" w:rsidRPr="001D6CFB">
        <w:rPr>
          <w:rFonts w:cs="Arial"/>
        </w:rPr>
        <w:t>and in</w:t>
      </w:r>
      <w:r w:rsidR="00E874A2" w:rsidRPr="001D6CFB">
        <w:rPr>
          <w:rFonts w:cs="Arial"/>
        </w:rPr>
        <w:t xml:space="preserve"> Liverpool the employment base actually declined.</w:t>
      </w:r>
    </w:p>
    <w:p w:rsidR="00C55D80" w:rsidRDefault="00C55D80" w:rsidP="00FE3AF4">
      <w:pPr>
        <w:spacing w:after="120"/>
        <w:rPr>
          <w:b/>
          <w:sz w:val="22"/>
          <w:szCs w:val="22"/>
        </w:rPr>
      </w:pPr>
    </w:p>
    <w:p w:rsidR="00C55D80" w:rsidRDefault="00C55D80" w:rsidP="00FE3AF4">
      <w:pPr>
        <w:spacing w:after="120"/>
        <w:rPr>
          <w:b/>
          <w:sz w:val="22"/>
          <w:szCs w:val="22"/>
        </w:rPr>
      </w:pPr>
    </w:p>
    <w:p w:rsidR="00FE3AF4" w:rsidRPr="001D6CFB" w:rsidRDefault="00FE3AF4" w:rsidP="001D6CFB">
      <w:pPr>
        <w:keepNext/>
        <w:spacing w:after="120"/>
        <w:rPr>
          <w:b/>
        </w:rPr>
      </w:pPr>
      <w:r w:rsidRPr="001D6CFB">
        <w:rPr>
          <w:b/>
        </w:rPr>
        <w:lastRenderedPageBreak/>
        <w:t>Figure 1 Average compound growth rates (19</w:t>
      </w:r>
      <w:r w:rsidR="00496CF0" w:rsidRPr="001D6CFB">
        <w:rPr>
          <w:b/>
        </w:rPr>
        <w:t>81-2012</w:t>
      </w:r>
      <w:r w:rsidRPr="001D6CFB">
        <w:rPr>
          <w:b/>
        </w:rPr>
        <w:t>)</w:t>
      </w:r>
      <w:r w:rsidR="006B17F2" w:rsidRPr="001D6CFB">
        <w:rPr>
          <w:b/>
        </w:rPr>
        <w:t xml:space="preserve"> </w:t>
      </w:r>
    </w:p>
    <w:p w:rsidR="00044FEA" w:rsidRPr="004E19EA" w:rsidRDefault="00F17308" w:rsidP="00FE3AF4">
      <w:pPr>
        <w:spacing w:after="120"/>
        <w:rPr>
          <w:b/>
          <w:sz w:val="28"/>
          <w:szCs w:val="28"/>
        </w:rPr>
      </w:pPr>
      <w:r>
        <w:rPr>
          <w:noProof/>
          <w:lang w:val="en-GB" w:eastAsia="en-GB"/>
        </w:rPr>
        <w:drawing>
          <wp:inline distT="0" distB="0" distL="0" distR="0">
            <wp:extent cx="5035550" cy="716236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5550" cy="7162366"/>
                    </a:xfrm>
                    <a:prstGeom prst="rect">
                      <a:avLst/>
                    </a:prstGeom>
                    <a:noFill/>
                    <a:ln>
                      <a:noFill/>
                    </a:ln>
                  </pic:spPr>
                </pic:pic>
              </a:graphicData>
            </a:graphic>
          </wp:inline>
        </w:drawing>
      </w:r>
    </w:p>
    <w:p w:rsidR="00DE2B50" w:rsidRDefault="00DE2B50" w:rsidP="00FE3AF4">
      <w:pPr>
        <w:spacing w:after="120"/>
        <w:rPr>
          <w:b/>
          <w:sz w:val="22"/>
          <w:szCs w:val="22"/>
        </w:rPr>
      </w:pPr>
    </w:p>
    <w:p w:rsidR="002B0560" w:rsidRPr="001D6CFB" w:rsidRDefault="002B0560" w:rsidP="001D6CFB">
      <w:pPr>
        <w:spacing w:before="100" w:beforeAutospacing="1" w:after="100" w:afterAutospacing="1" w:line="480" w:lineRule="auto"/>
        <w:jc w:val="both"/>
        <w:rPr>
          <w:rFonts w:cs="Arial"/>
        </w:rPr>
      </w:pPr>
      <w:r w:rsidRPr="001D6CFB">
        <w:rPr>
          <w:rFonts w:cs="Arial"/>
        </w:rPr>
        <w:t xml:space="preserve">The combination of output and employment provides a measure of labour productivity. London has been the fastest-growing area on this metric with </w:t>
      </w:r>
      <w:r w:rsidRPr="001D6CFB">
        <w:rPr>
          <w:rFonts w:cs="Arial"/>
        </w:rPr>
        <w:lastRenderedPageBreak/>
        <w:t>growth of around 2.25% pa, while at the other end of the spectrum regions such as Mid-Wales and Cumbria have grown by only 0.75%pa. Given the importance of productivity in determining long-run differences in GDP per capita (OECD, 2009) these are important performance gaps that need further exploration and explanation.</w:t>
      </w:r>
    </w:p>
    <w:p w:rsidR="003224A5" w:rsidRPr="001D6CFB" w:rsidRDefault="003224A5" w:rsidP="001D6CFB">
      <w:pPr>
        <w:spacing w:before="100" w:beforeAutospacing="1" w:after="100" w:afterAutospacing="1" w:line="480" w:lineRule="auto"/>
        <w:jc w:val="both"/>
        <w:rPr>
          <w:rFonts w:cs="Calibri"/>
        </w:rPr>
      </w:pPr>
      <w:r w:rsidRPr="001D6CFB">
        <w:rPr>
          <w:rFonts w:cs="Arial"/>
        </w:rPr>
        <w:t xml:space="preserve">Figure </w:t>
      </w:r>
      <w:r w:rsidR="008912AE" w:rsidRPr="001D6CFB">
        <w:rPr>
          <w:rFonts w:cs="Arial"/>
        </w:rPr>
        <w:t>2</w:t>
      </w:r>
      <w:r w:rsidRPr="001D6CFB">
        <w:rPr>
          <w:rFonts w:cs="Arial"/>
        </w:rPr>
        <w:t xml:space="preserve"> shows the variation in the growth of output across the local areas of Great Britain over the thirty years examined.  In general, the fastest growth of output has been in the South of England although there are also some English LEP areas bordering with Wales that have done well and the effect of North Sea oil on Aberdeen is particularly noticeable.</w:t>
      </w:r>
    </w:p>
    <w:p w:rsidR="00D03EB9" w:rsidRDefault="005145F5" w:rsidP="00D71C46">
      <w:pPr>
        <w:keepNext/>
        <w:spacing w:before="100" w:beforeAutospacing="1" w:after="100" w:afterAutospacing="1" w:line="276" w:lineRule="auto"/>
        <w:jc w:val="both"/>
        <w:rPr>
          <w:rFonts w:cs="Arial"/>
          <w:b/>
          <w:sz w:val="22"/>
          <w:szCs w:val="22"/>
        </w:rPr>
      </w:pPr>
      <w:r>
        <w:rPr>
          <w:rFonts w:cs="Arial"/>
          <w:b/>
          <w:sz w:val="22"/>
          <w:szCs w:val="22"/>
        </w:rPr>
        <w:lastRenderedPageBreak/>
        <w:t xml:space="preserve">Figure </w:t>
      </w:r>
      <w:r w:rsidR="008912AE">
        <w:rPr>
          <w:rFonts w:cs="Arial"/>
          <w:b/>
          <w:sz w:val="22"/>
          <w:szCs w:val="22"/>
        </w:rPr>
        <w:t>2</w:t>
      </w:r>
      <w:r>
        <w:rPr>
          <w:rFonts w:cs="Arial"/>
          <w:b/>
          <w:sz w:val="22"/>
          <w:szCs w:val="22"/>
        </w:rPr>
        <w:t>:</w:t>
      </w:r>
      <w:r w:rsidR="004138C4" w:rsidRPr="00A36808">
        <w:rPr>
          <w:rFonts w:cs="Arial"/>
          <w:b/>
          <w:sz w:val="22"/>
          <w:szCs w:val="22"/>
        </w:rPr>
        <w:t xml:space="preserve"> Overall Output Growth across Great Britain 1981-201</w:t>
      </w:r>
      <w:r w:rsidR="00D03EB9">
        <w:rPr>
          <w:rFonts w:cs="Arial"/>
          <w:b/>
          <w:sz w:val="22"/>
          <w:szCs w:val="22"/>
        </w:rPr>
        <w:t>1</w:t>
      </w:r>
    </w:p>
    <w:p w:rsidR="004138C4" w:rsidRPr="00A36808" w:rsidRDefault="00D03EB9" w:rsidP="004138C4">
      <w:pPr>
        <w:jc w:val="both"/>
        <w:rPr>
          <w:rFonts w:cs="Arial"/>
          <w:b/>
          <w:sz w:val="22"/>
          <w:szCs w:val="22"/>
        </w:rPr>
      </w:pPr>
      <w:r>
        <w:rPr>
          <w:rFonts w:cs="Arial"/>
          <w:b/>
          <w:noProof/>
          <w:sz w:val="22"/>
          <w:szCs w:val="22"/>
          <w:lang w:val="en-GB" w:eastAsia="en-GB"/>
        </w:rPr>
        <w:drawing>
          <wp:inline distT="0" distB="0" distL="0" distR="0">
            <wp:extent cx="3701415" cy="4930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1415" cy="4930140"/>
                    </a:xfrm>
                    <a:prstGeom prst="rect">
                      <a:avLst/>
                    </a:prstGeom>
                    <a:noFill/>
                    <a:ln>
                      <a:noFill/>
                    </a:ln>
                  </pic:spPr>
                </pic:pic>
              </a:graphicData>
            </a:graphic>
          </wp:inline>
        </w:drawing>
      </w:r>
    </w:p>
    <w:p w:rsidR="005145F5" w:rsidRPr="001D6CFB" w:rsidRDefault="005145F5" w:rsidP="001D6CFB">
      <w:pPr>
        <w:spacing w:line="480" w:lineRule="auto"/>
        <w:jc w:val="both"/>
        <w:rPr>
          <w:rFonts w:cs="Arial"/>
        </w:rPr>
      </w:pPr>
      <w:r w:rsidRPr="001D6CFB">
        <w:rPr>
          <w:rFonts w:cs="Arial"/>
        </w:rPr>
        <w:t xml:space="preserve">Figure </w:t>
      </w:r>
      <w:r w:rsidR="008912AE" w:rsidRPr="001D6CFB">
        <w:rPr>
          <w:rFonts w:cs="Arial"/>
        </w:rPr>
        <w:t>3</w:t>
      </w:r>
      <w:r w:rsidRPr="001D6CFB">
        <w:rPr>
          <w:rFonts w:cs="Arial"/>
        </w:rPr>
        <w:t xml:space="preserve"> shows the spatial growth of employment over the period.  The pattern is somewhat different to that of output. Although there has been relatively strong employment growth in the South of England </w:t>
      </w:r>
      <w:r w:rsidR="00877495" w:rsidRPr="001D6CFB">
        <w:rPr>
          <w:rFonts w:cs="Arial"/>
        </w:rPr>
        <w:t xml:space="preserve">including the area around Bristol, </w:t>
      </w:r>
      <w:r w:rsidRPr="001D6CFB">
        <w:rPr>
          <w:rFonts w:cs="Arial"/>
        </w:rPr>
        <w:t>there has also been rapid growth in the East, parts of Yorkshire</w:t>
      </w:r>
      <w:r w:rsidR="00877495" w:rsidRPr="001D6CFB">
        <w:rPr>
          <w:rFonts w:cs="Arial"/>
        </w:rPr>
        <w:t xml:space="preserve"> and Wales.</w:t>
      </w:r>
    </w:p>
    <w:p w:rsidR="00E440D7" w:rsidRDefault="00E440D7" w:rsidP="004561F9">
      <w:pPr>
        <w:jc w:val="both"/>
        <w:rPr>
          <w:rFonts w:cs="Arial"/>
          <w:b/>
          <w:sz w:val="22"/>
          <w:szCs w:val="22"/>
        </w:rPr>
      </w:pPr>
    </w:p>
    <w:p w:rsidR="00E440D7" w:rsidRDefault="00E440D7" w:rsidP="004561F9">
      <w:pPr>
        <w:jc w:val="both"/>
        <w:rPr>
          <w:rFonts w:cs="Arial"/>
          <w:b/>
          <w:sz w:val="22"/>
          <w:szCs w:val="22"/>
        </w:rPr>
      </w:pPr>
    </w:p>
    <w:p w:rsidR="005D4763" w:rsidRPr="001D6CFB" w:rsidRDefault="002B0560" w:rsidP="001D6CFB">
      <w:pPr>
        <w:keepNext/>
        <w:jc w:val="both"/>
        <w:rPr>
          <w:rFonts w:cs="Arial"/>
          <w:b/>
        </w:rPr>
      </w:pPr>
      <w:r w:rsidRPr="001D6CFB">
        <w:rPr>
          <w:rFonts w:cs="Arial"/>
          <w:b/>
        </w:rPr>
        <w:lastRenderedPageBreak/>
        <w:t>F</w:t>
      </w:r>
      <w:r w:rsidR="005145F5" w:rsidRPr="001D6CFB">
        <w:rPr>
          <w:rFonts w:cs="Arial"/>
          <w:b/>
        </w:rPr>
        <w:t xml:space="preserve">igure </w:t>
      </w:r>
      <w:r w:rsidR="008912AE" w:rsidRPr="001D6CFB">
        <w:rPr>
          <w:rFonts w:cs="Arial"/>
          <w:b/>
        </w:rPr>
        <w:t>3</w:t>
      </w:r>
      <w:r w:rsidR="005145F5" w:rsidRPr="001D6CFB">
        <w:rPr>
          <w:rFonts w:cs="Arial"/>
          <w:b/>
        </w:rPr>
        <w:t>:</w:t>
      </w:r>
      <w:r w:rsidR="005D4763" w:rsidRPr="001D6CFB">
        <w:rPr>
          <w:rFonts w:cs="Arial"/>
          <w:b/>
        </w:rPr>
        <w:t xml:space="preserve"> </w:t>
      </w:r>
      <w:r w:rsidR="005145F5" w:rsidRPr="001D6CFB">
        <w:rPr>
          <w:rFonts w:cs="Arial"/>
          <w:b/>
        </w:rPr>
        <w:t>E</w:t>
      </w:r>
      <w:r w:rsidR="005D4763" w:rsidRPr="001D6CFB">
        <w:rPr>
          <w:rFonts w:cs="Arial"/>
          <w:b/>
        </w:rPr>
        <w:t xml:space="preserve">mployment </w:t>
      </w:r>
      <w:r w:rsidR="005145F5" w:rsidRPr="001D6CFB">
        <w:rPr>
          <w:rFonts w:cs="Arial"/>
          <w:b/>
        </w:rPr>
        <w:t xml:space="preserve">growth </w:t>
      </w:r>
      <w:r w:rsidR="005D4763" w:rsidRPr="001D6CFB">
        <w:rPr>
          <w:rFonts w:cs="Arial"/>
          <w:b/>
        </w:rPr>
        <w:t>in Great Britain over the period 1981-201</w:t>
      </w:r>
      <w:r w:rsidR="00D03EB9" w:rsidRPr="001D6CFB">
        <w:rPr>
          <w:rFonts w:cs="Arial"/>
          <w:b/>
        </w:rPr>
        <w:t>1</w:t>
      </w:r>
    </w:p>
    <w:p w:rsidR="00E76232" w:rsidRDefault="009E2F4F" w:rsidP="005B050C">
      <w:pPr>
        <w:jc w:val="both"/>
        <w:rPr>
          <w:b/>
        </w:rPr>
      </w:pPr>
      <w:r>
        <w:rPr>
          <w:b/>
          <w:noProof/>
          <w:lang w:val="en-GB" w:eastAsia="en-GB"/>
        </w:rPr>
        <w:drawing>
          <wp:inline distT="0" distB="0" distL="0" distR="0">
            <wp:extent cx="3774440" cy="4981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4440" cy="4981575"/>
                    </a:xfrm>
                    <a:prstGeom prst="rect">
                      <a:avLst/>
                    </a:prstGeom>
                    <a:noFill/>
                    <a:ln>
                      <a:noFill/>
                    </a:ln>
                  </pic:spPr>
                </pic:pic>
              </a:graphicData>
            </a:graphic>
          </wp:inline>
        </w:drawing>
      </w:r>
    </w:p>
    <w:p w:rsidR="005145F5" w:rsidRPr="001D6CFB" w:rsidRDefault="005145F5" w:rsidP="001D6CFB">
      <w:pPr>
        <w:spacing w:line="480" w:lineRule="auto"/>
        <w:jc w:val="both"/>
        <w:rPr>
          <w:bCs/>
        </w:rPr>
      </w:pPr>
      <w:r w:rsidRPr="001D6CFB">
        <w:rPr>
          <w:rFonts w:cs="Arial"/>
        </w:rPr>
        <w:t>The ability of areas to grow is the result of their relative competiveness in producing goods and services (</w:t>
      </w:r>
      <w:r w:rsidR="004E19EA" w:rsidRPr="001D6CFB">
        <w:rPr>
          <w:rFonts w:cs="Arial"/>
        </w:rPr>
        <w:t>Kitson, et</w:t>
      </w:r>
      <w:r w:rsidR="004D624C" w:rsidRPr="001D6CFB">
        <w:rPr>
          <w:rFonts w:cs="Arial"/>
        </w:rPr>
        <w:t xml:space="preserve"> al, 2004</w:t>
      </w:r>
      <w:r w:rsidR="004E19EA" w:rsidRPr="001D6CFB">
        <w:rPr>
          <w:rFonts w:cs="Arial"/>
        </w:rPr>
        <w:t>)</w:t>
      </w:r>
      <w:r w:rsidRPr="001D6CFB">
        <w:rPr>
          <w:rFonts w:cs="Arial"/>
        </w:rPr>
        <w:t xml:space="preserve">. The growth of their productivity is of central importance (OECD, 2009).  </w:t>
      </w:r>
      <w:r w:rsidR="00BF6E8E" w:rsidRPr="001D6CFB">
        <w:rPr>
          <w:rFonts w:cs="Arial"/>
        </w:rPr>
        <w:t xml:space="preserve">Figure </w:t>
      </w:r>
      <w:r w:rsidR="008912AE" w:rsidRPr="001D6CFB">
        <w:rPr>
          <w:rFonts w:cs="Arial"/>
        </w:rPr>
        <w:t>4</w:t>
      </w:r>
      <w:r w:rsidRPr="001D6CFB">
        <w:rPr>
          <w:rFonts w:cs="Arial"/>
        </w:rPr>
        <w:t xml:space="preserve"> shows </w:t>
      </w:r>
      <w:r w:rsidRPr="001D6CFB">
        <w:rPr>
          <w:bCs/>
        </w:rPr>
        <w:t xml:space="preserve">how the growth of productivity has varied over the period 1981-2010.  The strong performance </w:t>
      </w:r>
      <w:r w:rsidR="00877495" w:rsidRPr="001D6CFB">
        <w:rPr>
          <w:bCs/>
        </w:rPr>
        <w:t xml:space="preserve">of LEPs in </w:t>
      </w:r>
      <w:r w:rsidR="004E19EA" w:rsidRPr="001D6CFB">
        <w:rPr>
          <w:bCs/>
        </w:rPr>
        <w:t>the South</w:t>
      </w:r>
      <w:r w:rsidRPr="001D6CFB">
        <w:rPr>
          <w:bCs/>
        </w:rPr>
        <w:t xml:space="preserve"> of England </w:t>
      </w:r>
      <w:r w:rsidR="00877495" w:rsidRPr="001D6CFB">
        <w:rPr>
          <w:bCs/>
        </w:rPr>
        <w:t>and parts of the English Midlands is evident.</w:t>
      </w:r>
      <w:r w:rsidRPr="001D6CFB">
        <w:rPr>
          <w:bCs/>
        </w:rPr>
        <w:t xml:space="preserve">  </w:t>
      </w:r>
    </w:p>
    <w:p w:rsidR="00E440D7" w:rsidRPr="001D6CFB" w:rsidRDefault="00C83BF7" w:rsidP="001D6CFB">
      <w:pPr>
        <w:spacing w:before="100" w:beforeAutospacing="1" w:after="100" w:afterAutospacing="1" w:line="480" w:lineRule="auto"/>
        <w:jc w:val="both"/>
        <w:rPr>
          <w:rFonts w:cs="Calibri"/>
        </w:rPr>
      </w:pPr>
      <w:r w:rsidRPr="001D6CFB">
        <w:rPr>
          <w:rFonts w:cs="Calibri"/>
        </w:rPr>
        <w:t xml:space="preserve">As a first step we should ask whether local economies have changed and shifted their relative performance through time, or whether their rankings have been immutable. </w:t>
      </w:r>
      <w:r w:rsidR="004E19EA" w:rsidRPr="001D6CFB">
        <w:rPr>
          <w:rFonts w:cs="Calibri"/>
        </w:rPr>
        <w:t>Focusing on</w:t>
      </w:r>
      <w:r w:rsidRPr="001D6CFB">
        <w:rPr>
          <w:rFonts w:cs="Calibri"/>
        </w:rPr>
        <w:t xml:space="preserve"> productivity, it is striking how persistent </w:t>
      </w:r>
      <w:r w:rsidRPr="001D6CFB">
        <w:rPr>
          <w:rFonts w:cs="Calibri"/>
        </w:rPr>
        <w:lastRenderedPageBreak/>
        <w:t xml:space="preserve">productivity differences have been across the LEP areas over the period of analysis.  Figure </w:t>
      </w:r>
      <w:r w:rsidR="00E440D7" w:rsidRPr="001D6CFB">
        <w:rPr>
          <w:rFonts w:cs="Calibri"/>
        </w:rPr>
        <w:t>5</w:t>
      </w:r>
      <w:r w:rsidR="004E19EA" w:rsidRPr="001D6CFB">
        <w:rPr>
          <w:rFonts w:cs="Calibri"/>
        </w:rPr>
        <w:t>.</w:t>
      </w:r>
      <w:r w:rsidRPr="001D6CFB">
        <w:rPr>
          <w:rFonts w:cs="Calibri"/>
        </w:rPr>
        <w:t xml:space="preserve"> shows that, with a few exceptions, there has been little change in the relative rankings of LEP areas over the thirty years examined, with a correlation coefficient of 0.75 between the 1981 and 2012 rankings. There is also a hint of divergence in </w:t>
      </w:r>
    </w:p>
    <w:p w:rsidR="009E2F4F" w:rsidRDefault="009E2F4F" w:rsidP="00E440D7">
      <w:pPr>
        <w:jc w:val="both"/>
        <w:rPr>
          <w:b/>
          <w:bCs/>
          <w:sz w:val="22"/>
          <w:szCs w:val="22"/>
        </w:rPr>
      </w:pPr>
    </w:p>
    <w:p w:rsidR="00E440D7" w:rsidRPr="001D6CFB" w:rsidRDefault="00E440D7" w:rsidP="00E440D7">
      <w:pPr>
        <w:jc w:val="both"/>
        <w:rPr>
          <w:b/>
        </w:rPr>
      </w:pPr>
      <w:r w:rsidRPr="001D6CFB">
        <w:rPr>
          <w:b/>
          <w:bCs/>
        </w:rPr>
        <w:t>Figure 4: LEP Average Productivity Growth Across Great Britain 1981-201</w:t>
      </w:r>
      <w:r w:rsidR="009E2F4F" w:rsidRPr="001D6CFB">
        <w:rPr>
          <w:b/>
          <w:bCs/>
        </w:rPr>
        <w:t>1</w:t>
      </w:r>
    </w:p>
    <w:p w:rsidR="00E440D7" w:rsidRDefault="009E2F4F" w:rsidP="00E440D7">
      <w:pPr>
        <w:spacing w:line="276" w:lineRule="auto"/>
        <w:jc w:val="both"/>
        <w:rPr>
          <w:rFonts w:cs="Arial"/>
          <w:sz w:val="22"/>
          <w:szCs w:val="22"/>
        </w:rPr>
      </w:pPr>
      <w:r>
        <w:rPr>
          <w:rFonts w:cs="Arial"/>
          <w:noProof/>
          <w:sz w:val="22"/>
          <w:szCs w:val="22"/>
          <w:lang w:val="en-GB" w:eastAsia="en-GB"/>
        </w:rPr>
        <w:drawing>
          <wp:inline distT="0" distB="0" distL="0" distR="0">
            <wp:extent cx="3599180" cy="4827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9180" cy="4827905"/>
                    </a:xfrm>
                    <a:prstGeom prst="rect">
                      <a:avLst/>
                    </a:prstGeom>
                    <a:noFill/>
                    <a:ln>
                      <a:noFill/>
                    </a:ln>
                  </pic:spPr>
                </pic:pic>
              </a:graphicData>
            </a:graphic>
          </wp:inline>
        </w:drawing>
      </w:r>
    </w:p>
    <w:p w:rsidR="00C83BF7" w:rsidRPr="001D6CFB" w:rsidRDefault="00C83BF7" w:rsidP="001D6CFB">
      <w:pPr>
        <w:spacing w:before="100" w:beforeAutospacing="1" w:after="100" w:afterAutospacing="1" w:line="480" w:lineRule="auto"/>
        <w:jc w:val="both"/>
        <w:rPr>
          <w:rFonts w:cs="Calibri"/>
        </w:rPr>
      </w:pPr>
      <w:r w:rsidRPr="001D6CFB">
        <w:rPr>
          <w:rFonts w:cs="Calibri"/>
        </w:rPr>
        <w:t>performance, as the regions at the top end of the scale mostly improved their position by the end of the period, while those at the bottom fell further behind.</w:t>
      </w:r>
    </w:p>
    <w:p w:rsidR="00E440D7" w:rsidRPr="001D6CFB" w:rsidRDefault="00E440D7" w:rsidP="001D6CFB">
      <w:pPr>
        <w:spacing w:line="480" w:lineRule="auto"/>
        <w:jc w:val="both"/>
        <w:rPr>
          <w:rFonts w:ascii="Cambria" w:hAnsi="Cambria"/>
        </w:rPr>
      </w:pPr>
      <w:r w:rsidRPr="001D6CFB">
        <w:rPr>
          <w:rFonts w:ascii="Cambria" w:hAnsi="Cambria"/>
          <w:bCs/>
        </w:rPr>
        <w:lastRenderedPageBreak/>
        <w:t xml:space="preserve">There has been much interest in examining the relationship between the growth of output and productivity. </w:t>
      </w:r>
      <w:r w:rsidRPr="001D6CFB">
        <w:rPr>
          <w:rFonts w:ascii="Cambria" w:hAnsi="Cambria"/>
        </w:rPr>
        <w:t>Verdoorn’s law posits a positive relationship because of the belief that there are increasing returns.  These can take a number of forms that include scale economies and possible effects on the absorption of technology (Scott, 1991). The Verdoorn relationship has been investigated using a variety of different approaches with a particular focus on models that regress productivity growth on output growth, and also emplo</w:t>
      </w:r>
      <w:r w:rsidR="002B19CD">
        <w:rPr>
          <w:rFonts w:ascii="Cambria" w:hAnsi="Cambria"/>
        </w:rPr>
        <w:t>yment growth on output growth, t</w:t>
      </w:r>
      <w:r w:rsidRPr="001D6CFB">
        <w:rPr>
          <w:rFonts w:ascii="Cambria" w:hAnsi="Cambria"/>
        </w:rPr>
        <w:t>he argument for the latter approach being that it tends to avoid the problem of output being on both sides of the regression models (productivity being output per worker employed). Although not directly of the form examined in the main literature we regressed the growth of productivity across our local areas against the corresponding growth of output.  Figure (6) shows the results.</w:t>
      </w:r>
      <w:r w:rsidR="00C55D80" w:rsidRPr="001D6CFB">
        <w:rPr>
          <w:rFonts w:ascii="Cambria" w:hAnsi="Cambria"/>
        </w:rPr>
        <w:t xml:space="preserve"> There is a statistically significant relationship with the coefficient on the output growth term being around 0.2 which is somewhat lower than the 0.5 found in </w:t>
      </w:r>
      <w:r w:rsidR="004E19EA" w:rsidRPr="001D6CFB">
        <w:rPr>
          <w:rFonts w:ascii="Cambria" w:hAnsi="Cambria"/>
        </w:rPr>
        <w:t>much other estimation</w:t>
      </w:r>
      <w:r w:rsidR="00C55D80" w:rsidRPr="001D6CFB">
        <w:rPr>
          <w:rFonts w:ascii="Cambria" w:hAnsi="Cambria"/>
        </w:rPr>
        <w:t xml:space="preserve">. </w:t>
      </w:r>
    </w:p>
    <w:p w:rsidR="005774ED" w:rsidRDefault="005774ED" w:rsidP="001D6CFB">
      <w:pPr>
        <w:keepNext/>
        <w:spacing w:before="100" w:beforeAutospacing="1" w:after="100" w:afterAutospacing="1" w:line="276" w:lineRule="auto"/>
        <w:rPr>
          <w:b/>
          <w:i/>
          <w:sz w:val="22"/>
          <w:szCs w:val="22"/>
        </w:rPr>
      </w:pPr>
      <w:r w:rsidRPr="00D34550">
        <w:rPr>
          <w:b/>
          <w:sz w:val="22"/>
          <w:szCs w:val="22"/>
        </w:rPr>
        <w:lastRenderedPageBreak/>
        <w:t xml:space="preserve">Figure </w:t>
      </w:r>
      <w:r w:rsidR="008912AE">
        <w:rPr>
          <w:b/>
          <w:sz w:val="22"/>
          <w:szCs w:val="22"/>
        </w:rPr>
        <w:t>5</w:t>
      </w:r>
      <w:r>
        <w:rPr>
          <w:b/>
          <w:sz w:val="22"/>
          <w:szCs w:val="22"/>
        </w:rPr>
        <w:t xml:space="preserve">: </w:t>
      </w:r>
      <w:r w:rsidRPr="00D34550">
        <w:rPr>
          <w:b/>
          <w:sz w:val="22"/>
          <w:szCs w:val="22"/>
        </w:rPr>
        <w:t xml:space="preserve"> Productivity levels in LEP areas in 201</w:t>
      </w:r>
      <w:r>
        <w:rPr>
          <w:b/>
          <w:sz w:val="22"/>
          <w:szCs w:val="22"/>
        </w:rPr>
        <w:t>2 compared to 1981</w:t>
      </w:r>
      <w:r w:rsidR="004E19EA">
        <w:rPr>
          <w:b/>
          <w:sz w:val="22"/>
          <w:szCs w:val="22"/>
        </w:rPr>
        <w:t>.</w:t>
      </w:r>
      <w:r w:rsidR="00AA3675">
        <w:rPr>
          <w:b/>
          <w:i/>
          <w:sz w:val="22"/>
          <w:szCs w:val="22"/>
        </w:rPr>
        <w:t xml:space="preserve"> </w:t>
      </w:r>
    </w:p>
    <w:p w:rsidR="00936F19" w:rsidRPr="00E440D7" w:rsidRDefault="004E19EA" w:rsidP="005774ED">
      <w:pPr>
        <w:spacing w:before="100" w:beforeAutospacing="1" w:after="100" w:afterAutospacing="1" w:line="276" w:lineRule="auto"/>
        <w:rPr>
          <w:b/>
          <w:i/>
          <w:sz w:val="22"/>
          <w:szCs w:val="22"/>
        </w:rPr>
      </w:pPr>
      <w:r>
        <w:rPr>
          <w:noProof/>
          <w:szCs w:val="22"/>
          <w:lang w:val="en-GB" w:eastAsia="en-GB"/>
        </w:rPr>
        <w:drawing>
          <wp:inline distT="0" distB="0" distL="0" distR="0">
            <wp:extent cx="5035550" cy="4447673"/>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035550" cy="4447673"/>
                    </a:xfrm>
                    <a:prstGeom prst="rect">
                      <a:avLst/>
                    </a:prstGeom>
                    <a:noFill/>
                    <a:ln w="9525">
                      <a:noFill/>
                      <a:miter lim="800000"/>
                      <a:headEnd/>
                      <a:tailEnd/>
                    </a:ln>
                  </pic:spPr>
                </pic:pic>
              </a:graphicData>
            </a:graphic>
          </wp:inline>
        </w:drawing>
      </w:r>
    </w:p>
    <w:p w:rsidR="005774ED" w:rsidRDefault="005774ED" w:rsidP="005774ED">
      <w:pPr>
        <w:spacing w:before="100" w:beforeAutospacing="1" w:after="100" w:afterAutospacing="1" w:line="276" w:lineRule="auto"/>
        <w:rPr>
          <w:b/>
          <w:sz w:val="22"/>
          <w:szCs w:val="22"/>
        </w:rPr>
      </w:pPr>
    </w:p>
    <w:p w:rsidR="002B0560" w:rsidRPr="001D6CFB" w:rsidRDefault="00E440D7" w:rsidP="001D6CFB">
      <w:pPr>
        <w:spacing w:before="100" w:beforeAutospacing="1" w:after="100" w:afterAutospacing="1" w:line="480" w:lineRule="auto"/>
        <w:jc w:val="both"/>
        <w:rPr>
          <w:rFonts w:cs="Arial"/>
        </w:rPr>
      </w:pPr>
      <w:r w:rsidRPr="001D6CFB">
        <w:rPr>
          <w:rFonts w:cs="Arial"/>
        </w:rPr>
        <w:t>F</w:t>
      </w:r>
      <w:r w:rsidR="002B0560" w:rsidRPr="001D6CFB">
        <w:rPr>
          <w:rFonts w:cs="Arial"/>
        </w:rPr>
        <w:t xml:space="preserve">igure 7 examines how the local areas secured relative productivity growth, by examining whether this productivity was obtained at the expense of employment growth.  It shows the growth of productivity in each LEP relative to the national average over the entire period and compares it with the respective relative growth in employment.  Clearly, a few areas (e.g. Northamptonshire) have the virtuous position of combining above-average productivity growth while also managing a relatively strong employment performance (top-right quadrant).  In stark contrast, Liverpool stands out as one of the LEPs that have relatively under-performed on both productivity </w:t>
      </w:r>
      <w:r w:rsidR="002B0560" w:rsidRPr="001D6CFB">
        <w:rPr>
          <w:rFonts w:cs="Arial"/>
        </w:rPr>
        <w:lastRenderedPageBreak/>
        <w:t xml:space="preserve">and employment, placing it in the bottom left quadrant.  In-between these two extremes, some areas like Greater Cambridgeshire and Peterborough (bottom-right quadrant) have experienced strong employment growth but have under-performed on productivity.  Finally, some areas like the Black Country have displayed an above-average productivity performance, but have under-performed on employment growth (top left quadrant). </w:t>
      </w:r>
    </w:p>
    <w:p w:rsidR="000959D3" w:rsidRDefault="008912AE" w:rsidP="00452016">
      <w:pPr>
        <w:pStyle w:val="HEADING"/>
      </w:pPr>
      <w:r w:rsidRPr="001D6CFB">
        <w:rPr>
          <w:rFonts w:cs="Arial"/>
          <w:color w:val="auto"/>
          <w:sz w:val="24"/>
          <w:szCs w:val="24"/>
        </w:rPr>
        <w:t>Figure 6.</w:t>
      </w:r>
      <w:r w:rsidRPr="001D6CFB">
        <w:rPr>
          <w:rFonts w:cs="Arial"/>
          <w:sz w:val="24"/>
          <w:szCs w:val="24"/>
        </w:rPr>
        <w:t xml:space="preserve"> </w:t>
      </w:r>
      <w:r w:rsidR="005C0668" w:rsidRPr="001D6CFB">
        <w:rPr>
          <w:sz w:val="24"/>
          <w:szCs w:val="24"/>
        </w:rPr>
        <w:t xml:space="preserve"> </w:t>
      </w:r>
      <w:r w:rsidR="005C0668" w:rsidRPr="001D6CFB">
        <w:rPr>
          <w:color w:val="auto"/>
          <w:sz w:val="24"/>
          <w:szCs w:val="24"/>
        </w:rPr>
        <w:t>Relationship between Productivity Growth and Output Growth across LEP areas. (Average Annual Growth Rates for 1981-2012)</w:t>
      </w:r>
      <w:r w:rsidR="00E440D7" w:rsidRPr="001D6CFB">
        <w:rPr>
          <w:color w:val="auto"/>
          <w:sz w:val="24"/>
          <w:szCs w:val="24"/>
        </w:rPr>
        <w:t>.</w:t>
      </w:r>
      <w:r w:rsidR="00E81970" w:rsidRPr="001D6CFB">
        <w:rPr>
          <w:color w:val="auto"/>
          <w:sz w:val="24"/>
          <w:szCs w:val="24"/>
        </w:rPr>
        <w:t xml:space="preserve"> </w:t>
      </w:r>
    </w:p>
    <w:p w:rsidR="000959D3" w:rsidRDefault="000959D3" w:rsidP="000959D3">
      <w:pPr>
        <w:rPr>
          <w:lang w:val="en-GB"/>
        </w:rPr>
      </w:pPr>
      <w:r w:rsidRPr="000959D3">
        <w:rPr>
          <w:noProof/>
          <w:lang w:val="en-GB" w:eastAsia="en-GB"/>
        </w:rPr>
        <w:drawing>
          <wp:inline distT="0" distB="0" distL="0" distR="0">
            <wp:extent cx="4958715" cy="3704590"/>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4958715" cy="3704590"/>
                    </a:xfrm>
                    <a:prstGeom prst="rect">
                      <a:avLst/>
                    </a:prstGeom>
                    <a:noFill/>
                    <a:ln w="9525">
                      <a:noFill/>
                      <a:miter lim="800000"/>
                      <a:headEnd/>
                      <a:tailEnd/>
                    </a:ln>
                  </pic:spPr>
                </pic:pic>
              </a:graphicData>
            </a:graphic>
          </wp:inline>
        </w:drawing>
      </w:r>
    </w:p>
    <w:p w:rsidR="000959D3" w:rsidRPr="000959D3" w:rsidRDefault="000959D3" w:rsidP="000959D3">
      <w:pPr>
        <w:rPr>
          <w:lang w:val="en-GB"/>
        </w:rPr>
      </w:pPr>
    </w:p>
    <w:p w:rsidR="00C3519B" w:rsidRDefault="00C3519B" w:rsidP="00E76232">
      <w:pPr>
        <w:spacing w:line="276" w:lineRule="auto"/>
        <w:jc w:val="both"/>
        <w:rPr>
          <w:rFonts w:cs="Arial"/>
          <w:b/>
          <w:sz w:val="22"/>
          <w:szCs w:val="22"/>
        </w:rPr>
      </w:pPr>
    </w:p>
    <w:p w:rsidR="00124441" w:rsidRDefault="00DE1528" w:rsidP="00452016">
      <w:pPr>
        <w:keepNext/>
        <w:spacing w:line="276" w:lineRule="auto"/>
        <w:jc w:val="both"/>
        <w:rPr>
          <w:rFonts w:cs="Arial"/>
          <w:b/>
        </w:rPr>
      </w:pPr>
      <w:r w:rsidRPr="001D6CFB">
        <w:rPr>
          <w:rFonts w:cs="Arial"/>
          <w:b/>
        </w:rPr>
        <w:lastRenderedPageBreak/>
        <w:t xml:space="preserve">Figure </w:t>
      </w:r>
      <w:r w:rsidR="008912AE" w:rsidRPr="001D6CFB">
        <w:rPr>
          <w:rFonts w:cs="Arial"/>
          <w:b/>
        </w:rPr>
        <w:t>7</w:t>
      </w:r>
      <w:r w:rsidR="00BF6E8E" w:rsidRPr="001D6CFB">
        <w:rPr>
          <w:rFonts w:cs="Arial"/>
          <w:b/>
        </w:rPr>
        <w:t>:</w:t>
      </w:r>
      <w:r w:rsidRPr="001D6CFB">
        <w:rPr>
          <w:rFonts w:cs="Arial"/>
          <w:b/>
        </w:rPr>
        <w:t xml:space="preserve"> </w:t>
      </w:r>
      <w:r w:rsidR="00F10814" w:rsidRPr="001D6CFB">
        <w:rPr>
          <w:rFonts w:cs="Arial"/>
          <w:b/>
        </w:rPr>
        <w:t>R</w:t>
      </w:r>
      <w:r w:rsidRPr="001D6CFB">
        <w:rPr>
          <w:rFonts w:cs="Arial"/>
          <w:b/>
        </w:rPr>
        <w:t>elative productivity and employment growth across the LEP</w:t>
      </w:r>
      <w:r w:rsidR="00F10814" w:rsidRPr="001D6CFB">
        <w:rPr>
          <w:rFonts w:cs="Arial"/>
          <w:b/>
        </w:rPr>
        <w:t>s</w:t>
      </w:r>
    </w:p>
    <w:p w:rsidR="009955F9" w:rsidRDefault="009955F9" w:rsidP="00E76232">
      <w:pPr>
        <w:spacing w:line="276" w:lineRule="auto"/>
        <w:jc w:val="both"/>
        <w:rPr>
          <w:rFonts w:cs="Arial"/>
          <w:b/>
        </w:rPr>
      </w:pPr>
      <w:r w:rsidRPr="009955F9">
        <w:rPr>
          <w:noProof/>
          <w:lang w:val="en-GB" w:eastAsia="en-GB"/>
        </w:rPr>
        <w:drawing>
          <wp:inline distT="0" distB="0" distL="0" distR="0">
            <wp:extent cx="5035550" cy="4402678"/>
            <wp:effectExtent l="1905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035550" cy="4402678"/>
                    </a:xfrm>
                    <a:prstGeom prst="rect">
                      <a:avLst/>
                    </a:prstGeom>
                    <a:noFill/>
                    <a:ln w="9525">
                      <a:noFill/>
                      <a:miter lim="800000"/>
                      <a:headEnd/>
                      <a:tailEnd/>
                    </a:ln>
                  </pic:spPr>
                </pic:pic>
              </a:graphicData>
            </a:graphic>
          </wp:inline>
        </w:drawing>
      </w:r>
    </w:p>
    <w:p w:rsidR="002B19CD" w:rsidRDefault="002B19CD" w:rsidP="001C75BD">
      <w:pPr>
        <w:jc w:val="both"/>
        <w:rPr>
          <w:b/>
          <w:sz w:val="28"/>
          <w:szCs w:val="28"/>
        </w:rPr>
      </w:pPr>
    </w:p>
    <w:p w:rsidR="001C75BD" w:rsidRPr="00F27879" w:rsidRDefault="001C75BD" w:rsidP="001C75BD">
      <w:pPr>
        <w:jc w:val="both"/>
        <w:rPr>
          <w:b/>
          <w:sz w:val="28"/>
          <w:szCs w:val="28"/>
        </w:rPr>
      </w:pPr>
      <w:r w:rsidRPr="00F27879">
        <w:rPr>
          <w:b/>
          <w:sz w:val="28"/>
          <w:szCs w:val="28"/>
        </w:rPr>
        <w:t xml:space="preserve">3. </w:t>
      </w:r>
      <w:r w:rsidR="00F27879">
        <w:rPr>
          <w:b/>
          <w:sz w:val="28"/>
          <w:szCs w:val="28"/>
        </w:rPr>
        <w:t xml:space="preserve">The factors underpinning </w:t>
      </w:r>
      <w:r w:rsidR="00E76232" w:rsidRPr="00F27879">
        <w:rPr>
          <w:b/>
          <w:sz w:val="28"/>
          <w:szCs w:val="28"/>
        </w:rPr>
        <w:t>geographical variations in economic growth</w:t>
      </w:r>
      <w:r w:rsidR="004D624C">
        <w:rPr>
          <w:b/>
          <w:sz w:val="28"/>
          <w:szCs w:val="28"/>
        </w:rPr>
        <w:t xml:space="preserve">: </w:t>
      </w:r>
      <w:r w:rsidR="00D34550">
        <w:rPr>
          <w:b/>
          <w:sz w:val="28"/>
          <w:szCs w:val="28"/>
        </w:rPr>
        <w:t xml:space="preserve"> the role of industrial structure</w:t>
      </w:r>
      <w:r w:rsidR="00E76232" w:rsidRPr="00F27879">
        <w:rPr>
          <w:b/>
          <w:sz w:val="28"/>
          <w:szCs w:val="28"/>
        </w:rPr>
        <w:t xml:space="preserve">. </w:t>
      </w:r>
      <w:r w:rsidR="007F437E" w:rsidRPr="00F27879">
        <w:rPr>
          <w:b/>
          <w:sz w:val="28"/>
          <w:szCs w:val="28"/>
        </w:rPr>
        <w:t xml:space="preserve"> </w:t>
      </w:r>
    </w:p>
    <w:p w:rsidR="00877495" w:rsidRPr="001D6CFB" w:rsidRDefault="00877495" w:rsidP="001D6CFB">
      <w:pPr>
        <w:spacing w:before="100" w:beforeAutospacing="1" w:after="100" w:afterAutospacing="1" w:line="480" w:lineRule="auto"/>
        <w:jc w:val="both"/>
        <w:rPr>
          <w:rFonts w:cs="Calibri"/>
        </w:rPr>
      </w:pPr>
      <w:r w:rsidRPr="001D6CFB">
        <w:rPr>
          <w:rFonts w:cs="Calibri"/>
        </w:rPr>
        <w:t xml:space="preserve">The evidence in the previous section identified significant differences across local areas in their rate of economic growth since 1981.  In the modern world, local economic growth is of course strongly shaped </w:t>
      </w:r>
      <w:r w:rsidR="00414888" w:rsidRPr="001D6CFB">
        <w:rPr>
          <w:rFonts w:cs="Calibri"/>
        </w:rPr>
        <w:t>by factors</w:t>
      </w:r>
      <w:r w:rsidRPr="001D6CFB">
        <w:rPr>
          <w:rFonts w:cs="Calibri"/>
        </w:rPr>
        <w:t xml:space="preserve"> that are national or international in their origin and scale of impact.  Such factors include the nation’s exchange rate, the growth of the world economy, industrial lifecycles and changes in technology.  However, their impact is nonetheless mediated and conditioned by </w:t>
      </w:r>
      <w:r w:rsidR="00414888" w:rsidRPr="001D6CFB">
        <w:rPr>
          <w:rFonts w:cs="Calibri"/>
        </w:rPr>
        <w:t>local economic</w:t>
      </w:r>
      <w:r w:rsidRPr="001D6CFB">
        <w:rPr>
          <w:rFonts w:cs="Calibri"/>
        </w:rPr>
        <w:t xml:space="preserve"> structures and processes.</w:t>
      </w:r>
    </w:p>
    <w:p w:rsidR="00BB5105" w:rsidRPr="001D6CFB" w:rsidRDefault="00732C59" w:rsidP="001D6CFB">
      <w:pPr>
        <w:spacing w:before="100" w:beforeAutospacing="1" w:after="100" w:afterAutospacing="1" w:line="480" w:lineRule="auto"/>
        <w:jc w:val="both"/>
        <w:rPr>
          <w:rFonts w:cs="Calibri"/>
        </w:rPr>
      </w:pPr>
      <w:r w:rsidRPr="001D6CFB">
        <w:rPr>
          <w:rFonts w:cs="Calibri"/>
        </w:rPr>
        <w:lastRenderedPageBreak/>
        <w:t xml:space="preserve">Figure </w:t>
      </w:r>
      <w:r w:rsidR="008912AE" w:rsidRPr="001D6CFB">
        <w:rPr>
          <w:rFonts w:cs="Calibri"/>
        </w:rPr>
        <w:t>8</w:t>
      </w:r>
      <w:r w:rsidR="007D33E8" w:rsidRPr="001D6CFB">
        <w:rPr>
          <w:rFonts w:cs="Calibri"/>
        </w:rPr>
        <w:t xml:space="preserve"> shows how growth has varied across economic sectors over the period 1971-2010.  It is clear that m</w:t>
      </w:r>
      <w:r w:rsidR="005408D6" w:rsidRPr="001D6CFB">
        <w:rPr>
          <w:rFonts w:cs="Calibri"/>
        </w:rPr>
        <w:t xml:space="preserve">anufacturing output has declined relative to the general growth of the UK economy. </w:t>
      </w:r>
      <w:r w:rsidR="00376CD9" w:rsidRPr="001D6CFB">
        <w:rPr>
          <w:rFonts w:cs="Calibri"/>
        </w:rPr>
        <w:t xml:space="preserve"> </w:t>
      </w:r>
      <w:r w:rsidR="005408D6" w:rsidRPr="001D6CFB">
        <w:rPr>
          <w:rFonts w:cs="Calibri"/>
        </w:rPr>
        <w:t>In</w:t>
      </w:r>
      <w:r w:rsidRPr="001D6CFB">
        <w:rPr>
          <w:rFonts w:cs="Calibri"/>
        </w:rPr>
        <w:t xml:space="preserve"> </w:t>
      </w:r>
      <w:r w:rsidR="005408D6" w:rsidRPr="001D6CFB">
        <w:rPr>
          <w:rFonts w:cs="Calibri"/>
        </w:rPr>
        <w:t>fa</w:t>
      </w:r>
      <w:r w:rsidR="00185278" w:rsidRPr="001D6CFB">
        <w:rPr>
          <w:rFonts w:cs="Calibri"/>
        </w:rPr>
        <w:t xml:space="preserve">ct, in 2009 </w:t>
      </w:r>
      <w:r w:rsidR="00877495" w:rsidRPr="001D6CFB">
        <w:rPr>
          <w:rFonts w:cs="Calibri"/>
        </w:rPr>
        <w:t xml:space="preserve">the level of </w:t>
      </w:r>
      <w:r w:rsidR="004E19EA" w:rsidRPr="001D6CFB">
        <w:rPr>
          <w:rFonts w:cs="Calibri"/>
        </w:rPr>
        <w:t>manufacturing output</w:t>
      </w:r>
      <w:r w:rsidR="007D33E8" w:rsidRPr="001D6CFB">
        <w:rPr>
          <w:rFonts w:cs="Calibri"/>
        </w:rPr>
        <w:t xml:space="preserve"> </w:t>
      </w:r>
      <w:r w:rsidR="00877495" w:rsidRPr="001D6CFB">
        <w:rPr>
          <w:rFonts w:cs="Calibri"/>
        </w:rPr>
        <w:t xml:space="preserve">had only returned to </w:t>
      </w:r>
      <w:r w:rsidR="005408D6" w:rsidRPr="001D6CFB">
        <w:rPr>
          <w:rFonts w:cs="Calibri"/>
        </w:rPr>
        <w:t>where it was in 1973</w:t>
      </w:r>
      <w:r w:rsidR="00185278" w:rsidRPr="001D6CFB">
        <w:rPr>
          <w:rFonts w:cs="Calibri"/>
        </w:rPr>
        <w:t>-</w:t>
      </w:r>
      <w:r w:rsidR="004D624C" w:rsidRPr="001D6CFB">
        <w:rPr>
          <w:rFonts w:cs="Calibri"/>
        </w:rPr>
        <w:t>three and a half decades</w:t>
      </w:r>
      <w:r w:rsidR="00185278" w:rsidRPr="001D6CFB">
        <w:rPr>
          <w:rFonts w:cs="Calibri"/>
        </w:rPr>
        <w:t xml:space="preserve"> before.</w:t>
      </w:r>
      <w:r w:rsidR="00F27879" w:rsidRPr="001D6CFB">
        <w:rPr>
          <w:rFonts w:cs="Calibri"/>
        </w:rPr>
        <w:t xml:space="preserve"> </w:t>
      </w:r>
      <w:r w:rsidR="0008381A" w:rsidRPr="001D6CFB">
        <w:rPr>
          <w:rFonts w:cs="Calibri"/>
        </w:rPr>
        <w:t xml:space="preserve"> </w:t>
      </w:r>
      <w:r w:rsidR="004D624C" w:rsidRPr="001D6CFB">
        <w:rPr>
          <w:rFonts w:cs="Calibri"/>
        </w:rPr>
        <w:t xml:space="preserve">Deindustrialization </w:t>
      </w:r>
      <w:r w:rsidR="0008381A" w:rsidRPr="001D6CFB">
        <w:rPr>
          <w:rFonts w:cs="Calibri"/>
        </w:rPr>
        <w:t>has affected all local areas in the United Kingdom to some degree, although not to the same extent.  In contrast, the</w:t>
      </w:r>
      <w:r w:rsidR="00877495" w:rsidRPr="001D6CFB">
        <w:rPr>
          <w:rFonts w:cs="Calibri"/>
        </w:rPr>
        <w:t xml:space="preserve">re has </w:t>
      </w:r>
      <w:r w:rsidR="004E19EA" w:rsidRPr="001D6CFB">
        <w:rPr>
          <w:rFonts w:cs="Calibri"/>
        </w:rPr>
        <w:t>been very</w:t>
      </w:r>
      <w:r w:rsidR="0008381A" w:rsidRPr="001D6CFB">
        <w:rPr>
          <w:rFonts w:cs="Calibri"/>
        </w:rPr>
        <w:t xml:space="preserve"> significant growth in </w:t>
      </w:r>
      <w:r w:rsidR="00877495" w:rsidRPr="001D6CFB">
        <w:rPr>
          <w:rFonts w:cs="Calibri"/>
        </w:rPr>
        <w:t>the</w:t>
      </w:r>
      <w:r w:rsidR="0008381A" w:rsidRPr="001D6CFB">
        <w:rPr>
          <w:rFonts w:cs="Calibri"/>
        </w:rPr>
        <w:t xml:space="preserve"> financial </w:t>
      </w:r>
      <w:r w:rsidR="004D624C" w:rsidRPr="001D6CFB">
        <w:rPr>
          <w:rFonts w:cs="Calibri"/>
        </w:rPr>
        <w:t xml:space="preserve">services </w:t>
      </w:r>
      <w:r w:rsidR="0008381A" w:rsidRPr="001D6CFB">
        <w:rPr>
          <w:rFonts w:cs="Calibri"/>
        </w:rPr>
        <w:t>sector such that real output in that sector is now some 350% above its 1971 base.  Local economies with a strong presence in that sector have benefitted from this expansion</w:t>
      </w:r>
      <w:r w:rsidR="0039188D" w:rsidRPr="001D6CFB">
        <w:rPr>
          <w:rFonts w:cs="Calibri"/>
        </w:rPr>
        <w:t>,</w:t>
      </w:r>
      <w:r w:rsidR="0008381A" w:rsidRPr="001D6CFB">
        <w:rPr>
          <w:rFonts w:cs="Calibri"/>
        </w:rPr>
        <w:t xml:space="preserve"> with </w:t>
      </w:r>
      <w:r w:rsidR="0039188D" w:rsidRPr="001D6CFB">
        <w:rPr>
          <w:rFonts w:cs="Calibri"/>
        </w:rPr>
        <w:t>the most notable</w:t>
      </w:r>
      <w:r w:rsidR="0008381A" w:rsidRPr="001D6CFB">
        <w:rPr>
          <w:rFonts w:cs="Calibri"/>
        </w:rPr>
        <w:t xml:space="preserve"> example</w:t>
      </w:r>
      <w:r w:rsidR="0039188D" w:rsidRPr="001D6CFB">
        <w:rPr>
          <w:rFonts w:cs="Calibri"/>
        </w:rPr>
        <w:t>, of course,</w:t>
      </w:r>
      <w:r w:rsidR="0008381A" w:rsidRPr="001D6CFB">
        <w:rPr>
          <w:rFonts w:cs="Calibri"/>
        </w:rPr>
        <w:t xml:space="preserve"> being Lon</w:t>
      </w:r>
      <w:r w:rsidR="008912C2" w:rsidRPr="001D6CFB">
        <w:rPr>
          <w:rFonts w:cs="Calibri"/>
        </w:rPr>
        <w:t xml:space="preserve">don </w:t>
      </w:r>
      <w:r w:rsidR="0008381A" w:rsidRPr="001D6CFB">
        <w:rPr>
          <w:rFonts w:cs="Calibri"/>
        </w:rPr>
        <w:t>(Gardiner, et al, 2013</w:t>
      </w:r>
      <w:r w:rsidR="0039188D" w:rsidRPr="001D6CFB">
        <w:rPr>
          <w:rFonts w:cs="Calibri"/>
        </w:rPr>
        <w:t>; Martin, 2014</w:t>
      </w:r>
      <w:r w:rsidR="0008381A" w:rsidRPr="001D6CFB">
        <w:rPr>
          <w:rFonts w:cs="Calibri"/>
        </w:rPr>
        <w:t>).</w:t>
      </w:r>
    </w:p>
    <w:p w:rsidR="00B66253" w:rsidRPr="001D6CFB" w:rsidRDefault="00430F41" w:rsidP="0008381A">
      <w:pPr>
        <w:spacing w:line="320" w:lineRule="exact"/>
        <w:jc w:val="both"/>
        <w:rPr>
          <w:rFonts w:ascii="Georgia" w:hAnsi="Georgia" w:cs="Verdana"/>
          <w:b/>
        </w:rPr>
      </w:pPr>
      <w:r w:rsidRPr="000C42FC">
        <w:rPr>
          <w:rFonts w:ascii="Georgia" w:hAnsi="Georgia" w:cs="Verdana"/>
          <w:b/>
          <w:noProof/>
          <w:sz w:val="20"/>
          <w:szCs w:val="20"/>
          <w:lang w:val="en-GB" w:eastAsia="en-GB"/>
        </w:rPr>
        <w:drawing>
          <wp:anchor distT="0" distB="0" distL="114300" distR="114300" simplePos="0" relativeHeight="251659264" behindDoc="0" locked="0" layoutInCell="1" allowOverlap="1">
            <wp:simplePos x="0" y="0"/>
            <wp:positionH relativeFrom="column">
              <wp:posOffset>-35560</wp:posOffset>
            </wp:positionH>
            <wp:positionV relativeFrom="paragraph">
              <wp:posOffset>350520</wp:posOffset>
            </wp:positionV>
            <wp:extent cx="5273040" cy="3381375"/>
            <wp:effectExtent l="19050" t="0" r="3810" b="0"/>
            <wp:wrapTight wrapText="bothSides">
              <wp:wrapPolygon edited="0">
                <wp:start x="-78" y="0"/>
                <wp:lineTo x="-78" y="21539"/>
                <wp:lineTo x="21616" y="21539"/>
                <wp:lineTo x="21616" y="0"/>
                <wp:lineTo x="-78" y="0"/>
              </wp:wrapPolygon>
            </wp:wrapTight>
            <wp:docPr id="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srcRect/>
                    <a:stretch>
                      <a:fillRect/>
                    </a:stretch>
                  </pic:blipFill>
                  <pic:spPr bwMode="auto">
                    <a:xfrm>
                      <a:off x="0" y="0"/>
                      <a:ext cx="5273040" cy="3381375"/>
                    </a:xfrm>
                    <a:prstGeom prst="rect">
                      <a:avLst/>
                    </a:prstGeom>
                    <a:noFill/>
                    <a:ln w="9525">
                      <a:noFill/>
                      <a:miter lim="800000"/>
                      <a:headEnd/>
                      <a:tailEnd/>
                    </a:ln>
                  </pic:spPr>
                </pic:pic>
              </a:graphicData>
            </a:graphic>
          </wp:anchor>
        </w:drawing>
      </w:r>
      <w:r w:rsidR="00B66253" w:rsidRPr="000C42FC">
        <w:rPr>
          <w:rFonts w:ascii="Georgia" w:hAnsi="Georgia" w:cs="Verdana"/>
          <w:b/>
          <w:sz w:val="20"/>
          <w:szCs w:val="20"/>
        </w:rPr>
        <w:t xml:space="preserve">Figure </w:t>
      </w:r>
      <w:r w:rsidR="008912AE" w:rsidRPr="000C42FC">
        <w:rPr>
          <w:rFonts w:ascii="Georgia" w:hAnsi="Georgia" w:cs="Verdana"/>
          <w:b/>
          <w:sz w:val="20"/>
          <w:szCs w:val="20"/>
        </w:rPr>
        <w:t>8</w:t>
      </w:r>
      <w:r w:rsidR="00B66253" w:rsidRPr="000C42FC">
        <w:rPr>
          <w:rFonts w:ascii="Georgia" w:hAnsi="Georgia" w:cs="Verdana"/>
          <w:b/>
          <w:sz w:val="20"/>
          <w:szCs w:val="20"/>
        </w:rPr>
        <w:t xml:space="preserve">:  </w:t>
      </w:r>
      <w:r w:rsidR="00732C59" w:rsidRPr="000C42FC">
        <w:rPr>
          <w:rFonts w:ascii="Georgia" w:hAnsi="Georgia" w:cs="Verdana"/>
          <w:b/>
          <w:sz w:val="20"/>
          <w:szCs w:val="20"/>
        </w:rPr>
        <w:t>Sectorally Unbalanced Growth in the UK Economy,</w:t>
      </w:r>
      <w:r w:rsidR="00E440D7" w:rsidRPr="001D6CFB">
        <w:rPr>
          <w:rFonts w:ascii="Georgia" w:hAnsi="Georgia" w:cs="Verdana"/>
          <w:b/>
        </w:rPr>
        <w:t xml:space="preserve"> </w:t>
      </w:r>
      <w:r w:rsidR="00732C59" w:rsidRPr="001D6CFB">
        <w:rPr>
          <w:rFonts w:ascii="Georgia" w:hAnsi="Georgia" w:cs="Verdana"/>
          <w:b/>
        </w:rPr>
        <w:t>1971-2010</w:t>
      </w:r>
      <w:r w:rsidR="00CE2619" w:rsidRPr="001D6CFB">
        <w:rPr>
          <w:rFonts w:ascii="Georgia" w:hAnsi="Georgia" w:cs="Verdana"/>
          <w:b/>
        </w:rPr>
        <w:t>.</w:t>
      </w:r>
    </w:p>
    <w:p w:rsidR="00BF1BA3" w:rsidRPr="000C42FC" w:rsidRDefault="00BF1BA3" w:rsidP="000C42FC">
      <w:pPr>
        <w:spacing w:before="100" w:beforeAutospacing="1" w:after="100" w:afterAutospacing="1" w:line="480" w:lineRule="auto"/>
        <w:jc w:val="both"/>
      </w:pPr>
      <w:r w:rsidRPr="000C42FC">
        <w:t xml:space="preserve">The consequences of </w:t>
      </w:r>
      <w:r w:rsidR="009A5371" w:rsidRPr="000C42FC">
        <w:t>Britain’s</w:t>
      </w:r>
      <w:r w:rsidRPr="000C42FC">
        <w:t>’ relative decline in manufacturing h</w:t>
      </w:r>
      <w:r w:rsidR="00C55D80" w:rsidRPr="000C42FC">
        <w:t>a</w:t>
      </w:r>
      <w:r w:rsidR="00877495" w:rsidRPr="000C42FC">
        <w:t>ve</w:t>
      </w:r>
      <w:r w:rsidRPr="000C42FC">
        <w:t xml:space="preserve"> been felt the most </w:t>
      </w:r>
      <w:r w:rsidR="00CE2619" w:rsidRPr="000C42FC">
        <w:t xml:space="preserve">intensively </w:t>
      </w:r>
      <w:r w:rsidRPr="000C42FC">
        <w:t xml:space="preserve">in </w:t>
      </w:r>
      <w:r w:rsidR="00877495" w:rsidRPr="000C42FC">
        <w:t xml:space="preserve">country’s </w:t>
      </w:r>
      <w:r w:rsidR="00886C41" w:rsidRPr="000C42FC">
        <w:t xml:space="preserve">long-established industrial cities which </w:t>
      </w:r>
      <w:r w:rsidR="00886C41" w:rsidRPr="000C42FC">
        <w:lastRenderedPageBreak/>
        <w:t>led the Industrial revolution</w:t>
      </w:r>
      <w:r w:rsidR="004E19EA" w:rsidRPr="000C42FC">
        <w:t>.</w:t>
      </w:r>
      <w:r w:rsidRPr="000C42FC">
        <w:t xml:space="preserve"> </w:t>
      </w:r>
      <w:r w:rsidR="00B66253" w:rsidRPr="000C42FC">
        <w:t xml:space="preserve">Many of the first </w:t>
      </w:r>
      <w:r w:rsidRPr="000C42FC">
        <w:t>casualties were the ‘smoke-stack’ industries which produced large volumes of goods with small unit value a</w:t>
      </w:r>
      <w:r w:rsidR="00CE2619" w:rsidRPr="000C42FC">
        <w:t>dded a</w:t>
      </w:r>
      <w:r w:rsidRPr="000C42FC">
        <w:t xml:space="preserve">nd which competed </w:t>
      </w:r>
      <w:r w:rsidR="00B66253" w:rsidRPr="000C42FC">
        <w:t xml:space="preserve">mainly </w:t>
      </w:r>
      <w:r w:rsidRPr="000C42FC">
        <w:t xml:space="preserve">on price.  Over the past </w:t>
      </w:r>
      <w:r w:rsidR="0039188D" w:rsidRPr="000C42FC">
        <w:t xml:space="preserve">fifty </w:t>
      </w:r>
      <w:r w:rsidRPr="000C42FC">
        <w:t xml:space="preserve">years the UK has lost virtually all of these industries.   </w:t>
      </w:r>
      <w:r w:rsidR="00414888" w:rsidRPr="000C42FC">
        <w:t xml:space="preserve">To the extent that these activities were concentrated in specific places there have been very different spatial consequences. </w:t>
      </w:r>
      <w:r w:rsidR="00886C41" w:rsidRPr="000C42FC">
        <w:t xml:space="preserve">To put it simply, </w:t>
      </w:r>
      <w:r w:rsidR="00C55D80" w:rsidRPr="000C42FC">
        <w:t xml:space="preserve">the </w:t>
      </w:r>
      <w:r w:rsidR="00B66253" w:rsidRPr="000C42FC">
        <w:t xml:space="preserve">more </w:t>
      </w:r>
      <w:r w:rsidR="0039188D" w:rsidRPr="000C42FC">
        <w:t xml:space="preserve">an </w:t>
      </w:r>
      <w:r w:rsidR="00B66253" w:rsidRPr="000C42FC">
        <w:t>area had a structure that was biased to these sectors the more it tended to suffer relative decline</w:t>
      </w:r>
      <w:r w:rsidR="00430F41" w:rsidRPr="000C42FC">
        <w:t xml:space="preserve">. </w:t>
      </w:r>
    </w:p>
    <w:p w:rsidR="0049210E" w:rsidRPr="000C42FC" w:rsidRDefault="0049210E" w:rsidP="000C42FC">
      <w:pPr>
        <w:spacing w:before="100" w:beforeAutospacing="1" w:after="100" w:afterAutospacing="1" w:line="480" w:lineRule="auto"/>
        <w:jc w:val="both"/>
      </w:pPr>
      <w:r w:rsidRPr="000C42FC">
        <w:t>The contribution of industrial structure more generally to economic growth in local areas can be examined using a dynamic shift share decomposition procedure (Gardiner et al (2013). Box 1 outlines the basic procedure adopted</w:t>
      </w:r>
      <w:r w:rsidR="004B613F" w:rsidRPr="000C42FC">
        <w:t>.</w:t>
      </w:r>
    </w:p>
    <w:p w:rsidR="004B613F" w:rsidRPr="008745FA" w:rsidRDefault="004B613F" w:rsidP="002A71EA">
      <w:pPr>
        <w:keepNext/>
        <w:widowControl w:val="0"/>
        <w:jc w:val="both"/>
        <w:rPr>
          <w:b/>
        </w:rPr>
      </w:pPr>
      <w:r w:rsidRPr="008745FA">
        <w:rPr>
          <w:b/>
        </w:rPr>
        <w:lastRenderedPageBreak/>
        <w:t>Box 1. A Dynamic Shift Share Procedure for Decomposing LEP Growth Evolutions</w:t>
      </w:r>
    </w:p>
    <w:p w:rsidR="004B613F" w:rsidRPr="000F01EA" w:rsidRDefault="002A71EA" w:rsidP="002A71EA">
      <w:pPr>
        <w:jc w:val="both"/>
        <w:rPr>
          <w:sz w:val="22"/>
          <w:szCs w:val="22"/>
        </w:rPr>
      </w:pPr>
      <w:r w:rsidRPr="002A71EA">
        <w:rPr>
          <w:noProof/>
          <w:szCs w:val="22"/>
          <w:lang w:val="en-GB" w:eastAsia="en-GB"/>
        </w:rPr>
        <w:drawing>
          <wp:inline distT="0" distB="0" distL="0" distR="0">
            <wp:extent cx="5035550" cy="699812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035550" cy="6998126"/>
                    </a:xfrm>
                    <a:prstGeom prst="rect">
                      <a:avLst/>
                    </a:prstGeom>
                    <a:noFill/>
                    <a:ln w="9525">
                      <a:noFill/>
                      <a:miter lim="800000"/>
                      <a:headEnd/>
                      <a:tailEnd/>
                    </a:ln>
                  </pic:spPr>
                </pic:pic>
              </a:graphicData>
            </a:graphic>
          </wp:inline>
        </w:drawing>
      </w:r>
    </w:p>
    <w:p w:rsidR="00D34550" w:rsidRPr="008745FA" w:rsidRDefault="00A91387" w:rsidP="008745FA">
      <w:pPr>
        <w:spacing w:before="100" w:beforeAutospacing="1" w:after="100" w:afterAutospacing="1" w:line="480" w:lineRule="auto"/>
        <w:jc w:val="both"/>
      </w:pPr>
      <w:r w:rsidRPr="008745FA">
        <w:t xml:space="preserve">The </w:t>
      </w:r>
      <w:r w:rsidR="00180323" w:rsidRPr="008745FA">
        <w:t xml:space="preserve">contribution of industrial structure </w:t>
      </w:r>
      <w:r w:rsidR="0039188D" w:rsidRPr="008745FA">
        <w:t xml:space="preserve">more generally </w:t>
      </w:r>
      <w:r w:rsidR="00180323" w:rsidRPr="008745FA">
        <w:t xml:space="preserve">to </w:t>
      </w:r>
      <w:r w:rsidRPr="008745FA">
        <w:t xml:space="preserve">economic </w:t>
      </w:r>
      <w:r w:rsidR="00180323" w:rsidRPr="008745FA">
        <w:t xml:space="preserve">growth in </w:t>
      </w:r>
      <w:r w:rsidR="00CE2619" w:rsidRPr="008745FA">
        <w:t xml:space="preserve">local areas </w:t>
      </w:r>
      <w:r w:rsidR="0039188D" w:rsidRPr="008745FA">
        <w:t xml:space="preserve">can be </w:t>
      </w:r>
      <w:r w:rsidRPr="008745FA">
        <w:t xml:space="preserve">examined using a </w:t>
      </w:r>
      <w:r w:rsidR="003259F0" w:rsidRPr="008745FA">
        <w:t>dynamic</w:t>
      </w:r>
      <w:r w:rsidR="00430F41" w:rsidRPr="008745FA">
        <w:t xml:space="preserve"> </w:t>
      </w:r>
      <w:r w:rsidR="00180323" w:rsidRPr="008745FA">
        <w:t xml:space="preserve">shift share </w:t>
      </w:r>
      <w:r w:rsidR="0039188D" w:rsidRPr="008745FA">
        <w:t xml:space="preserve">decomposition </w:t>
      </w:r>
      <w:r w:rsidR="00180323" w:rsidRPr="008745FA">
        <w:t>procedure</w:t>
      </w:r>
      <w:r w:rsidR="00CE2619" w:rsidRPr="008745FA">
        <w:t xml:space="preserve"> (</w:t>
      </w:r>
      <w:r w:rsidR="00430F41" w:rsidRPr="008745FA">
        <w:t>Gardiner et al (2013</w:t>
      </w:r>
      <w:r w:rsidR="00E440D7" w:rsidRPr="008745FA">
        <w:t>)</w:t>
      </w:r>
      <w:r w:rsidR="005B72EF" w:rsidRPr="008745FA">
        <w:t>.</w:t>
      </w:r>
      <w:r w:rsidR="00D34550" w:rsidRPr="008745FA">
        <w:t xml:space="preserve"> </w:t>
      </w:r>
      <w:r w:rsidR="005B72EF" w:rsidRPr="008745FA">
        <w:t>Figure</w:t>
      </w:r>
      <w:r w:rsidR="00430F41" w:rsidRPr="008745FA">
        <w:t xml:space="preserve">s </w:t>
      </w:r>
      <w:r w:rsidR="00886C41" w:rsidRPr="008745FA">
        <w:t>9</w:t>
      </w:r>
      <w:r w:rsidR="00430F41" w:rsidRPr="008745FA">
        <w:t>-1</w:t>
      </w:r>
      <w:r w:rsidR="00886C41" w:rsidRPr="008745FA">
        <w:t>1</w:t>
      </w:r>
      <w:r w:rsidR="005B72EF" w:rsidRPr="008745FA">
        <w:t xml:space="preserve"> show the results of applying </w:t>
      </w:r>
      <w:r w:rsidR="00CE2619" w:rsidRPr="008745FA">
        <w:lastRenderedPageBreak/>
        <w:t>th</w:t>
      </w:r>
      <w:r w:rsidR="0039188D" w:rsidRPr="008745FA">
        <w:t>is</w:t>
      </w:r>
      <w:r w:rsidR="00CE2619" w:rsidRPr="008745FA">
        <w:t xml:space="preserve"> </w:t>
      </w:r>
      <w:r w:rsidR="0039188D" w:rsidRPr="008745FA">
        <w:t>approach</w:t>
      </w:r>
      <w:r w:rsidR="00CE2619" w:rsidRPr="008745FA">
        <w:t xml:space="preserve">.  </w:t>
      </w:r>
      <w:r w:rsidR="003E59E4" w:rsidRPr="008745FA">
        <w:t xml:space="preserve">The analysis has only been possible at a relatively </w:t>
      </w:r>
      <w:r w:rsidR="0039188D" w:rsidRPr="008745FA">
        <w:t xml:space="preserve">low </w:t>
      </w:r>
      <w:r w:rsidR="003E59E4" w:rsidRPr="008745FA">
        <w:t xml:space="preserve">level of </w:t>
      </w:r>
      <w:r w:rsidR="0039188D" w:rsidRPr="008745FA">
        <w:t>industrial dis</w:t>
      </w:r>
      <w:r w:rsidR="003E59E4" w:rsidRPr="008745FA">
        <w:t>aggregation (23 sectors</w:t>
      </w:r>
      <w:r w:rsidR="006B290D" w:rsidRPr="008745FA">
        <w:rPr>
          <w:rStyle w:val="FootnoteReference"/>
        </w:rPr>
        <w:footnoteReference w:id="3"/>
      </w:r>
      <w:r w:rsidR="003E59E4" w:rsidRPr="008745FA">
        <w:t>)</w:t>
      </w:r>
      <w:r w:rsidR="004E19EA" w:rsidRPr="008745FA">
        <w:t>;</w:t>
      </w:r>
      <w:r w:rsidR="0039188D" w:rsidRPr="008745FA">
        <w:t xml:space="preserve"> in part</w:t>
      </w:r>
      <w:r w:rsidR="003E59E4" w:rsidRPr="008745FA">
        <w:t xml:space="preserve"> due to the </w:t>
      </w:r>
      <w:r w:rsidR="00886C41" w:rsidRPr="008745FA">
        <w:t xml:space="preserve">relatively </w:t>
      </w:r>
      <w:r w:rsidR="00414888" w:rsidRPr="008745FA">
        <w:t>small spatial</w:t>
      </w:r>
      <w:r w:rsidR="003E59E4" w:rsidRPr="008745FA">
        <w:t xml:space="preserve"> </w:t>
      </w:r>
      <w:r w:rsidR="0039188D" w:rsidRPr="008745FA">
        <w:t>scale of the LEPs</w:t>
      </w:r>
      <w:r w:rsidR="00CE2619" w:rsidRPr="008745FA">
        <w:t xml:space="preserve">.  </w:t>
      </w:r>
      <w:r w:rsidR="0005415A" w:rsidRPr="008745FA">
        <w:t>However, even allowing for this</w:t>
      </w:r>
      <w:r w:rsidR="007963A2" w:rsidRPr="008745FA">
        <w:t xml:space="preserve">, </w:t>
      </w:r>
      <w:r w:rsidR="0005415A" w:rsidRPr="008745FA">
        <w:t xml:space="preserve">it is clear that </w:t>
      </w:r>
      <w:r w:rsidR="007963A2" w:rsidRPr="008745FA">
        <w:t xml:space="preserve">industrial structure effects, while significant in many local areas, are generally far outweighed in importance by </w:t>
      </w:r>
      <w:r w:rsidR="0005415A" w:rsidRPr="008745FA">
        <w:t xml:space="preserve">locally-specific factors.  </w:t>
      </w:r>
      <w:r w:rsidR="007963A2" w:rsidRPr="008745FA">
        <w:t>Traditionally in shift-share analyses, such locally-specific ‘shift’ effects are attributed to ‘competitiveness’, that is to a range of local factors that tend to raise or lower the performance of particular sectors in a local area. Thus while the industrial structure effect captures the extent to which a locality has above average shares of nationally faster and slower growing sectors, the ‘competitiveness’ effect reflects the extent to which locally those same sectors are growing even faster (or more slowly) than their national counterparts.</w:t>
      </w:r>
    </w:p>
    <w:p w:rsidR="002B19CD" w:rsidRDefault="002B19CD" w:rsidP="003259F0">
      <w:pPr>
        <w:jc w:val="both"/>
        <w:rPr>
          <w:b/>
        </w:rPr>
      </w:pPr>
    </w:p>
    <w:p w:rsidR="002B19CD" w:rsidRDefault="002B19CD" w:rsidP="003259F0">
      <w:pPr>
        <w:jc w:val="both"/>
        <w:rPr>
          <w:b/>
        </w:rPr>
      </w:pPr>
    </w:p>
    <w:p w:rsidR="002B19CD" w:rsidRDefault="002B19CD" w:rsidP="003259F0">
      <w:pPr>
        <w:jc w:val="both"/>
        <w:rPr>
          <w:b/>
        </w:rPr>
      </w:pPr>
    </w:p>
    <w:p w:rsidR="002B19CD" w:rsidRDefault="002B19CD" w:rsidP="003259F0">
      <w:pPr>
        <w:jc w:val="both"/>
        <w:rPr>
          <w:b/>
        </w:rPr>
      </w:pPr>
    </w:p>
    <w:p w:rsidR="002B19CD" w:rsidRDefault="002B19CD" w:rsidP="003259F0">
      <w:pPr>
        <w:jc w:val="both"/>
        <w:rPr>
          <w:b/>
        </w:rPr>
      </w:pPr>
    </w:p>
    <w:p w:rsidR="002B19CD" w:rsidRDefault="002B19CD" w:rsidP="003259F0">
      <w:pPr>
        <w:jc w:val="both"/>
        <w:rPr>
          <w:b/>
        </w:rPr>
      </w:pPr>
    </w:p>
    <w:p w:rsidR="002B19CD" w:rsidRDefault="002B19CD" w:rsidP="003259F0">
      <w:pPr>
        <w:jc w:val="both"/>
        <w:rPr>
          <w:b/>
        </w:rPr>
      </w:pPr>
    </w:p>
    <w:p w:rsidR="002B19CD" w:rsidRDefault="002B19CD" w:rsidP="003259F0">
      <w:pPr>
        <w:jc w:val="both"/>
        <w:rPr>
          <w:b/>
        </w:rPr>
      </w:pPr>
    </w:p>
    <w:p w:rsidR="002B19CD" w:rsidRDefault="002B19CD" w:rsidP="003259F0">
      <w:pPr>
        <w:jc w:val="both"/>
        <w:rPr>
          <w:b/>
        </w:rPr>
      </w:pPr>
    </w:p>
    <w:p w:rsidR="002B19CD" w:rsidRDefault="002B19CD" w:rsidP="003259F0">
      <w:pPr>
        <w:jc w:val="both"/>
        <w:rPr>
          <w:b/>
        </w:rPr>
      </w:pPr>
    </w:p>
    <w:p w:rsidR="002B19CD" w:rsidRDefault="002B19CD" w:rsidP="003259F0">
      <w:pPr>
        <w:jc w:val="both"/>
        <w:rPr>
          <w:b/>
        </w:rPr>
      </w:pPr>
    </w:p>
    <w:p w:rsidR="002B19CD" w:rsidRDefault="002B19CD" w:rsidP="003259F0">
      <w:pPr>
        <w:jc w:val="both"/>
        <w:rPr>
          <w:b/>
        </w:rPr>
      </w:pPr>
    </w:p>
    <w:p w:rsidR="002B19CD" w:rsidRDefault="002B19CD" w:rsidP="003259F0">
      <w:pPr>
        <w:jc w:val="both"/>
        <w:rPr>
          <w:b/>
        </w:rPr>
      </w:pPr>
    </w:p>
    <w:p w:rsidR="002B19CD" w:rsidRDefault="002B19CD" w:rsidP="003259F0">
      <w:pPr>
        <w:jc w:val="both"/>
        <w:rPr>
          <w:b/>
        </w:rPr>
      </w:pPr>
    </w:p>
    <w:p w:rsidR="002B19CD" w:rsidRDefault="002B19CD" w:rsidP="003259F0">
      <w:pPr>
        <w:jc w:val="both"/>
        <w:rPr>
          <w:b/>
        </w:rPr>
      </w:pPr>
    </w:p>
    <w:p w:rsidR="002B19CD" w:rsidRDefault="002B19CD" w:rsidP="003259F0">
      <w:pPr>
        <w:jc w:val="both"/>
        <w:rPr>
          <w:b/>
        </w:rPr>
      </w:pPr>
    </w:p>
    <w:p w:rsidR="002B19CD" w:rsidRDefault="002B19CD" w:rsidP="003259F0">
      <w:pPr>
        <w:jc w:val="both"/>
        <w:rPr>
          <w:b/>
        </w:rPr>
      </w:pPr>
    </w:p>
    <w:p w:rsidR="002B19CD" w:rsidRDefault="002B19CD" w:rsidP="003259F0">
      <w:pPr>
        <w:jc w:val="both"/>
        <w:rPr>
          <w:b/>
        </w:rPr>
      </w:pPr>
    </w:p>
    <w:p w:rsidR="002B19CD" w:rsidRDefault="002B19CD" w:rsidP="003259F0">
      <w:pPr>
        <w:jc w:val="both"/>
        <w:rPr>
          <w:b/>
        </w:rPr>
      </w:pPr>
    </w:p>
    <w:p w:rsidR="002B19CD" w:rsidRDefault="003259F0" w:rsidP="003259F0">
      <w:pPr>
        <w:jc w:val="both"/>
        <w:rPr>
          <w:b/>
        </w:rPr>
      </w:pPr>
      <w:r w:rsidRPr="00977360">
        <w:rPr>
          <w:b/>
        </w:rPr>
        <w:lastRenderedPageBreak/>
        <w:t xml:space="preserve">Figure </w:t>
      </w:r>
      <w:r w:rsidR="008912AE">
        <w:rPr>
          <w:b/>
        </w:rPr>
        <w:t>9</w:t>
      </w:r>
      <w:r w:rsidRPr="00977360">
        <w:rPr>
          <w:b/>
        </w:rPr>
        <w:t>: Contribution of industry mix and locally specific factors to long-run employment change 1981-2012</w:t>
      </w:r>
    </w:p>
    <w:p w:rsidR="00085051" w:rsidRDefault="00085051" w:rsidP="003259F0">
      <w:pPr>
        <w:jc w:val="both"/>
        <w:rPr>
          <w:b/>
        </w:rPr>
      </w:pPr>
      <w:r w:rsidRPr="00085051">
        <w:rPr>
          <w:noProof/>
          <w:lang w:val="en-GB" w:eastAsia="en-GB"/>
        </w:rPr>
        <w:drawing>
          <wp:inline distT="0" distB="0" distL="0" distR="0">
            <wp:extent cx="5033596" cy="449580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035550" cy="4497545"/>
                    </a:xfrm>
                    <a:prstGeom prst="rect">
                      <a:avLst/>
                    </a:prstGeom>
                    <a:noFill/>
                    <a:ln w="9525">
                      <a:noFill/>
                      <a:miter lim="800000"/>
                      <a:headEnd/>
                      <a:tailEnd/>
                    </a:ln>
                  </pic:spPr>
                </pic:pic>
              </a:graphicData>
            </a:graphic>
          </wp:inline>
        </w:drawing>
      </w:r>
    </w:p>
    <w:p w:rsidR="003259F0" w:rsidRDefault="003259F0" w:rsidP="003259F0">
      <w:pPr>
        <w:rPr>
          <w:b/>
        </w:rPr>
      </w:pPr>
    </w:p>
    <w:p w:rsidR="002B19CD" w:rsidRDefault="003259F0" w:rsidP="008B1C2E">
      <w:pPr>
        <w:keepNext/>
        <w:rPr>
          <w:b/>
        </w:rPr>
      </w:pPr>
      <w:r>
        <w:rPr>
          <w:b/>
        </w:rPr>
        <w:lastRenderedPageBreak/>
        <w:t xml:space="preserve">Figure </w:t>
      </w:r>
      <w:r w:rsidR="008912AE">
        <w:rPr>
          <w:b/>
        </w:rPr>
        <w:t>10</w:t>
      </w:r>
      <w:r w:rsidRPr="00977360">
        <w:rPr>
          <w:b/>
        </w:rPr>
        <w:t xml:space="preserve">: Contribution of industry mix and locally specific factors to long-run </w:t>
      </w:r>
      <w:r>
        <w:rPr>
          <w:b/>
        </w:rPr>
        <w:t>output</w:t>
      </w:r>
      <w:r w:rsidRPr="00977360">
        <w:rPr>
          <w:b/>
        </w:rPr>
        <w:t xml:space="preserve"> change 1981-2012</w:t>
      </w:r>
      <w:r w:rsidR="00E440D7">
        <w:rPr>
          <w:b/>
        </w:rPr>
        <w:t>.</w:t>
      </w:r>
    </w:p>
    <w:p w:rsidR="00154124" w:rsidRDefault="00154124" w:rsidP="008B1C2E">
      <w:pPr>
        <w:keepNext/>
        <w:rPr>
          <w:b/>
        </w:rPr>
      </w:pPr>
      <w:r w:rsidRPr="00154124">
        <w:rPr>
          <w:noProof/>
          <w:lang w:val="en-GB" w:eastAsia="en-GB"/>
        </w:rPr>
        <w:drawing>
          <wp:inline distT="0" distB="0" distL="0" distR="0">
            <wp:extent cx="5033596" cy="4472354"/>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035550" cy="4474090"/>
                    </a:xfrm>
                    <a:prstGeom prst="rect">
                      <a:avLst/>
                    </a:prstGeom>
                    <a:noFill/>
                    <a:ln w="9525">
                      <a:noFill/>
                      <a:miter lim="800000"/>
                      <a:headEnd/>
                      <a:tailEnd/>
                    </a:ln>
                  </pic:spPr>
                </pic:pic>
              </a:graphicData>
            </a:graphic>
          </wp:inline>
        </w:drawing>
      </w:r>
    </w:p>
    <w:p w:rsidR="00E85C55" w:rsidRDefault="00E85C55" w:rsidP="008B1C2E">
      <w:pPr>
        <w:keepNext/>
        <w:rPr>
          <w:b/>
        </w:rPr>
      </w:pPr>
    </w:p>
    <w:p w:rsidR="002B19CD" w:rsidRDefault="003259F0" w:rsidP="003259F0">
      <w:pPr>
        <w:rPr>
          <w:b/>
        </w:rPr>
      </w:pPr>
      <w:r>
        <w:br w:type="page"/>
      </w:r>
      <w:r>
        <w:rPr>
          <w:b/>
        </w:rPr>
        <w:lastRenderedPageBreak/>
        <w:t>Figure 1</w:t>
      </w:r>
      <w:r w:rsidR="008912AE">
        <w:rPr>
          <w:b/>
        </w:rPr>
        <w:t>1</w:t>
      </w:r>
      <w:r w:rsidRPr="00977360">
        <w:rPr>
          <w:b/>
        </w:rPr>
        <w:t xml:space="preserve">: Contribution of industry mix and locally specific factors to long-run </w:t>
      </w:r>
      <w:r>
        <w:rPr>
          <w:b/>
        </w:rPr>
        <w:t>productivity</w:t>
      </w:r>
      <w:r w:rsidRPr="00977360">
        <w:rPr>
          <w:b/>
        </w:rPr>
        <w:t xml:space="preserve"> change 1981-2012</w:t>
      </w:r>
      <w:r w:rsidR="00E440D7">
        <w:rPr>
          <w:b/>
        </w:rPr>
        <w:t>.</w:t>
      </w:r>
      <w:r w:rsidR="0039188D">
        <w:rPr>
          <w:b/>
        </w:rPr>
        <w:t xml:space="preserve"> </w:t>
      </w:r>
    </w:p>
    <w:p w:rsidR="003E44BC" w:rsidRDefault="003E44BC" w:rsidP="003259F0">
      <w:pPr>
        <w:rPr>
          <w:b/>
        </w:rPr>
      </w:pPr>
      <w:r w:rsidRPr="003E44BC">
        <w:rPr>
          <w:noProof/>
          <w:lang w:val="en-GB" w:eastAsia="en-GB"/>
        </w:rPr>
        <w:drawing>
          <wp:inline distT="0" distB="0" distL="0" distR="0">
            <wp:extent cx="5033596" cy="529883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035550" cy="5300888"/>
                    </a:xfrm>
                    <a:prstGeom prst="rect">
                      <a:avLst/>
                    </a:prstGeom>
                    <a:noFill/>
                    <a:ln w="9525">
                      <a:noFill/>
                      <a:miter lim="800000"/>
                      <a:headEnd/>
                      <a:tailEnd/>
                    </a:ln>
                  </pic:spPr>
                </pic:pic>
              </a:graphicData>
            </a:graphic>
          </wp:inline>
        </w:drawing>
      </w:r>
    </w:p>
    <w:p w:rsidR="0038070E" w:rsidRDefault="0038070E" w:rsidP="000709E0">
      <w:pPr>
        <w:spacing w:line="276" w:lineRule="auto"/>
        <w:jc w:val="both"/>
        <w:rPr>
          <w:sz w:val="22"/>
          <w:szCs w:val="22"/>
        </w:rPr>
      </w:pPr>
    </w:p>
    <w:p w:rsidR="000709E0" w:rsidRPr="008745FA" w:rsidRDefault="002B310B" w:rsidP="008745FA">
      <w:pPr>
        <w:spacing w:line="480" w:lineRule="auto"/>
        <w:jc w:val="both"/>
      </w:pPr>
      <w:r w:rsidRPr="008745FA">
        <w:t>T</w:t>
      </w:r>
      <w:r w:rsidR="00C55D80" w:rsidRPr="008745FA">
        <w:t xml:space="preserve">o </w:t>
      </w:r>
      <w:r w:rsidR="00886C41" w:rsidRPr="008745FA">
        <w:t>further examine the impact</w:t>
      </w:r>
      <w:r w:rsidRPr="008745FA">
        <w:t xml:space="preserve"> of </w:t>
      </w:r>
      <w:r w:rsidR="000709E0" w:rsidRPr="008745FA">
        <w:t xml:space="preserve">industrial composition </w:t>
      </w:r>
      <w:r w:rsidRPr="008745FA">
        <w:t>w</w:t>
      </w:r>
      <w:r w:rsidR="00886C41" w:rsidRPr="008745FA">
        <w:t>e calculated</w:t>
      </w:r>
      <w:r w:rsidR="000709E0" w:rsidRPr="008745FA">
        <w:t xml:space="preserve"> a Krugman </w:t>
      </w:r>
      <w:r w:rsidR="004A6C04" w:rsidRPr="008745FA">
        <w:t>Specialisation</w:t>
      </w:r>
      <w:r w:rsidR="000709E0" w:rsidRPr="008745FA">
        <w:t xml:space="preserve"> Index for selected LEP areas that ha</w:t>
      </w:r>
      <w:r w:rsidR="007963A2" w:rsidRPr="008745FA">
        <w:t>ve</w:t>
      </w:r>
      <w:r w:rsidR="000709E0" w:rsidRPr="008745FA">
        <w:t xml:space="preserve"> been the subject of particularly extensive</w:t>
      </w:r>
      <w:r w:rsidR="007963A2" w:rsidRPr="008745FA">
        <w:t xml:space="preserve"> chan</w:t>
      </w:r>
      <w:r w:rsidR="000709E0" w:rsidRPr="008745FA">
        <w:t>ge over the period.</w:t>
      </w:r>
      <w:r w:rsidR="006B290D" w:rsidRPr="008745FA">
        <w:rPr>
          <w:rStyle w:val="FootnoteReference"/>
          <w:b/>
        </w:rPr>
        <w:footnoteReference w:id="4"/>
      </w:r>
      <w:r w:rsidR="006B290D" w:rsidRPr="008745FA">
        <w:rPr>
          <w:b/>
        </w:rPr>
        <w:t xml:space="preserve"> </w:t>
      </w:r>
      <w:r w:rsidR="000709E0" w:rsidRPr="008745FA">
        <w:t xml:space="preserve"> Figure</w:t>
      </w:r>
      <w:r w:rsidR="00D34550" w:rsidRPr="008745FA">
        <w:t xml:space="preserve"> </w:t>
      </w:r>
      <w:r w:rsidR="009F2561" w:rsidRPr="008745FA">
        <w:t>1</w:t>
      </w:r>
      <w:r w:rsidR="008912AE" w:rsidRPr="008745FA">
        <w:t>2</w:t>
      </w:r>
      <w:r w:rsidR="000709E0" w:rsidRPr="008745FA">
        <w:t xml:space="preserve"> presents </w:t>
      </w:r>
      <w:r w:rsidR="000709E0" w:rsidRPr="008745FA">
        <w:lastRenderedPageBreak/>
        <w:t xml:space="preserve">the results for four </w:t>
      </w:r>
      <w:r w:rsidR="007963A2" w:rsidRPr="008745FA">
        <w:t xml:space="preserve">such </w:t>
      </w:r>
      <w:r w:rsidR="000709E0" w:rsidRPr="008745FA">
        <w:t>areas</w:t>
      </w:r>
      <w:r w:rsidR="00442B63" w:rsidRPr="008745FA">
        <w:t>;</w:t>
      </w:r>
      <w:r w:rsidR="000709E0" w:rsidRPr="008745FA">
        <w:t xml:space="preserve"> </w:t>
      </w:r>
      <w:r w:rsidR="00442B63" w:rsidRPr="008745FA">
        <w:t>t</w:t>
      </w:r>
      <w:r w:rsidR="000709E0" w:rsidRPr="008745FA">
        <w:t xml:space="preserve">wo that had experienced the most significant growth (Greater Cambridge and Greater Peterborough and Oxfordshire) and two areas experiencing the most dramatic decline (the Black Country and Liverpool). </w:t>
      </w:r>
      <w:r w:rsidR="00886C41" w:rsidRPr="008745FA">
        <w:t xml:space="preserve"> It is clear that d</w:t>
      </w:r>
      <w:r w:rsidR="00BB0376" w:rsidRPr="008745FA">
        <w:t xml:space="preserve">ifferences in industrial structure across these local areas have been steadily </w:t>
      </w:r>
      <w:r w:rsidR="00414888" w:rsidRPr="008745FA">
        <w:t>declining</w:t>
      </w:r>
      <w:r w:rsidR="00BB0376" w:rsidRPr="008745FA">
        <w:t xml:space="preserve"> over time (</w:t>
      </w:r>
      <w:r w:rsidR="00414888" w:rsidRPr="008745FA">
        <w:t>i.e.</w:t>
      </w:r>
      <w:r w:rsidR="00BB0376" w:rsidRPr="008745FA">
        <w:t xml:space="preserve"> their economic structure have become more similar). In fact this convergence is common across almost all LEPS. This reinforces the findings from the shift-share analysis: </w:t>
      </w:r>
      <w:r w:rsidR="00A96CF3" w:rsidRPr="008745FA">
        <w:t>in</w:t>
      </w:r>
      <w:r w:rsidR="00442B63" w:rsidRPr="008745FA">
        <w:t xml:space="preserve"> general </w:t>
      </w:r>
      <w:r w:rsidR="000709E0" w:rsidRPr="008745FA">
        <w:t xml:space="preserve">specific </w:t>
      </w:r>
      <w:r w:rsidR="006B290D" w:rsidRPr="008745FA">
        <w:t>local</w:t>
      </w:r>
      <w:r w:rsidR="00A96CF3" w:rsidRPr="008745FA">
        <w:rPr>
          <w:i/>
        </w:rPr>
        <w:t xml:space="preserve"> </w:t>
      </w:r>
      <w:r w:rsidR="00BB0376" w:rsidRPr="008745FA">
        <w:rPr>
          <w:i/>
        </w:rPr>
        <w:t>‘</w:t>
      </w:r>
      <w:r w:rsidR="006B290D" w:rsidRPr="008745FA">
        <w:t>competitiveness’</w:t>
      </w:r>
      <w:r w:rsidR="00BB0376" w:rsidRPr="008745FA">
        <w:rPr>
          <w:i/>
        </w:rPr>
        <w:t xml:space="preserve"> </w:t>
      </w:r>
      <w:r w:rsidR="000709E0" w:rsidRPr="008745FA">
        <w:t xml:space="preserve">factors appear </w:t>
      </w:r>
      <w:r w:rsidR="00442B63" w:rsidRPr="008745FA">
        <w:t xml:space="preserve">to be </w:t>
      </w:r>
      <w:r w:rsidR="000709E0" w:rsidRPr="008745FA">
        <w:t xml:space="preserve">the major influence behind the longer–run dynamics of local growth. </w:t>
      </w:r>
    </w:p>
    <w:p w:rsidR="002B19CD" w:rsidRDefault="002B19CD" w:rsidP="001A174F">
      <w:pPr>
        <w:keepNext/>
        <w:jc w:val="both"/>
        <w:rPr>
          <w:b/>
          <w:sz w:val="22"/>
          <w:szCs w:val="22"/>
        </w:rPr>
      </w:pPr>
    </w:p>
    <w:p w:rsidR="002B19CD" w:rsidRDefault="009F2561" w:rsidP="001A174F">
      <w:pPr>
        <w:keepNext/>
        <w:jc w:val="both"/>
        <w:rPr>
          <w:b/>
          <w:sz w:val="22"/>
          <w:szCs w:val="22"/>
        </w:rPr>
      </w:pPr>
      <w:r>
        <w:rPr>
          <w:b/>
          <w:sz w:val="22"/>
          <w:szCs w:val="22"/>
        </w:rPr>
        <w:t>Figure 1</w:t>
      </w:r>
      <w:r w:rsidR="008912AE">
        <w:rPr>
          <w:b/>
          <w:sz w:val="22"/>
          <w:szCs w:val="22"/>
        </w:rPr>
        <w:t>2</w:t>
      </w:r>
      <w:r w:rsidR="00897F09">
        <w:rPr>
          <w:b/>
          <w:sz w:val="22"/>
          <w:szCs w:val="22"/>
        </w:rPr>
        <w:t xml:space="preserve">: </w:t>
      </w:r>
      <w:r w:rsidR="0005415A" w:rsidRPr="000709E0">
        <w:rPr>
          <w:b/>
          <w:sz w:val="22"/>
          <w:szCs w:val="22"/>
        </w:rPr>
        <w:t xml:space="preserve">The Convergence of Local Economic Structures: Krugman’s </w:t>
      </w:r>
      <w:r w:rsidR="004A6C04">
        <w:rPr>
          <w:b/>
          <w:sz w:val="22"/>
          <w:szCs w:val="22"/>
        </w:rPr>
        <w:t xml:space="preserve">Specialisation </w:t>
      </w:r>
      <w:r w:rsidR="00F84698">
        <w:rPr>
          <w:b/>
          <w:sz w:val="22"/>
          <w:szCs w:val="22"/>
        </w:rPr>
        <w:t>Index, Selected LEPs, 1981-2012</w:t>
      </w:r>
      <w:r w:rsidR="00CE2619">
        <w:rPr>
          <w:b/>
          <w:sz w:val="22"/>
          <w:szCs w:val="22"/>
        </w:rPr>
        <w:t>.</w:t>
      </w:r>
      <w:r w:rsidR="007963A2">
        <w:rPr>
          <w:b/>
          <w:sz w:val="22"/>
          <w:szCs w:val="22"/>
        </w:rPr>
        <w:t xml:space="preserve"> </w:t>
      </w:r>
    </w:p>
    <w:p w:rsidR="0005415A" w:rsidRDefault="0005415A" w:rsidP="001A174F">
      <w:pPr>
        <w:keepNext/>
        <w:jc w:val="both"/>
        <w:rPr>
          <w:b/>
          <w:sz w:val="22"/>
          <w:szCs w:val="22"/>
        </w:rPr>
      </w:pPr>
    </w:p>
    <w:p w:rsidR="00771AAC" w:rsidRDefault="004E19EA" w:rsidP="0005415A">
      <w:pPr>
        <w:jc w:val="both"/>
        <w:rPr>
          <w:noProof/>
          <w:szCs w:val="22"/>
          <w:lang w:val="en-GB" w:eastAsia="en-GB"/>
        </w:rPr>
      </w:pPr>
      <w:r>
        <w:rPr>
          <w:noProof/>
          <w:szCs w:val="22"/>
          <w:lang w:val="en-GB" w:eastAsia="en-GB"/>
        </w:rPr>
        <w:drawing>
          <wp:inline distT="0" distB="0" distL="0" distR="0">
            <wp:extent cx="5035550" cy="2705836"/>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035550" cy="2705836"/>
                    </a:xfrm>
                    <a:prstGeom prst="rect">
                      <a:avLst/>
                    </a:prstGeom>
                    <a:noFill/>
                    <a:ln w="9525">
                      <a:noFill/>
                      <a:miter lim="800000"/>
                      <a:headEnd/>
                      <a:tailEnd/>
                    </a:ln>
                  </pic:spPr>
                </pic:pic>
              </a:graphicData>
            </a:graphic>
          </wp:inline>
        </w:drawing>
      </w:r>
    </w:p>
    <w:p w:rsidR="004148F0" w:rsidRDefault="004148F0" w:rsidP="0005415A">
      <w:pPr>
        <w:jc w:val="both"/>
        <w:rPr>
          <w:b/>
          <w:sz w:val="22"/>
          <w:szCs w:val="22"/>
        </w:rPr>
      </w:pPr>
    </w:p>
    <w:p w:rsidR="002B19CD" w:rsidRDefault="002B19CD" w:rsidP="00D34550">
      <w:pPr>
        <w:jc w:val="both"/>
        <w:rPr>
          <w:b/>
          <w:sz w:val="28"/>
          <w:szCs w:val="28"/>
        </w:rPr>
      </w:pPr>
    </w:p>
    <w:p w:rsidR="002B19CD" w:rsidRDefault="002B19CD" w:rsidP="00D34550">
      <w:pPr>
        <w:jc w:val="both"/>
        <w:rPr>
          <w:b/>
          <w:sz w:val="28"/>
          <w:szCs w:val="28"/>
        </w:rPr>
      </w:pPr>
    </w:p>
    <w:p w:rsidR="00D34550" w:rsidRPr="00F27879" w:rsidRDefault="00D34550" w:rsidP="00D34550">
      <w:pPr>
        <w:jc w:val="both"/>
        <w:rPr>
          <w:b/>
          <w:sz w:val="28"/>
          <w:szCs w:val="28"/>
        </w:rPr>
      </w:pPr>
      <w:r>
        <w:rPr>
          <w:b/>
          <w:sz w:val="28"/>
          <w:szCs w:val="28"/>
        </w:rPr>
        <w:t>4</w:t>
      </w:r>
      <w:r w:rsidRPr="00F27879">
        <w:rPr>
          <w:b/>
          <w:sz w:val="28"/>
          <w:szCs w:val="28"/>
        </w:rPr>
        <w:t xml:space="preserve">. </w:t>
      </w:r>
      <w:r w:rsidR="007963A2">
        <w:rPr>
          <w:b/>
          <w:sz w:val="28"/>
          <w:szCs w:val="28"/>
        </w:rPr>
        <w:t>P</w:t>
      </w:r>
      <w:r w:rsidR="00AE363B">
        <w:rPr>
          <w:b/>
          <w:sz w:val="28"/>
          <w:szCs w:val="28"/>
        </w:rPr>
        <w:t xml:space="preserve">ossible determinants of the local </w:t>
      </w:r>
      <w:r w:rsidR="007963A2">
        <w:rPr>
          <w:b/>
          <w:sz w:val="28"/>
          <w:szCs w:val="28"/>
        </w:rPr>
        <w:t xml:space="preserve">‘competitiveness’ </w:t>
      </w:r>
      <w:r w:rsidR="00AE363B">
        <w:rPr>
          <w:b/>
          <w:sz w:val="28"/>
          <w:szCs w:val="28"/>
        </w:rPr>
        <w:t>component</w:t>
      </w:r>
      <w:r w:rsidRPr="00F27879">
        <w:rPr>
          <w:b/>
          <w:sz w:val="28"/>
          <w:szCs w:val="28"/>
        </w:rPr>
        <w:t xml:space="preserve">  </w:t>
      </w:r>
    </w:p>
    <w:p w:rsidR="00D34550" w:rsidRDefault="00D34550" w:rsidP="002B310B">
      <w:pPr>
        <w:spacing w:line="276" w:lineRule="auto"/>
        <w:jc w:val="both"/>
        <w:rPr>
          <w:rFonts w:ascii="Cambria" w:hAnsi="Cambria" w:cs="Calibri"/>
          <w:sz w:val="22"/>
          <w:szCs w:val="22"/>
        </w:rPr>
      </w:pPr>
    </w:p>
    <w:p w:rsidR="00886C41" w:rsidRPr="009A7D94" w:rsidRDefault="00886C41" w:rsidP="009A7D94">
      <w:pPr>
        <w:spacing w:line="480" w:lineRule="auto"/>
        <w:jc w:val="both"/>
      </w:pPr>
      <w:r w:rsidRPr="009A7D94">
        <w:rPr>
          <w:rFonts w:cs="Calibri"/>
        </w:rPr>
        <w:t xml:space="preserve">The evidence presented in the previous section indicates that in most local areas factors other than industrial mix appear to account for the major part </w:t>
      </w:r>
      <w:r w:rsidRPr="009A7D94">
        <w:rPr>
          <w:rFonts w:cs="Calibri"/>
        </w:rPr>
        <w:lastRenderedPageBreak/>
        <w:t>of differences in economic growth,</w:t>
      </w:r>
      <w:r w:rsidR="00E440D7" w:rsidRPr="009A7D94">
        <w:rPr>
          <w:rFonts w:cs="Calibri"/>
        </w:rPr>
        <w:t xml:space="preserve"> </w:t>
      </w:r>
      <w:r w:rsidRPr="009A7D94">
        <w:rPr>
          <w:rFonts w:cs="Calibri"/>
        </w:rPr>
        <w:t xml:space="preserve">and the importance of industrial structure seems to be declining.  The local shift or competitiveness component has been responsible for </w:t>
      </w:r>
      <w:r w:rsidR="00414888" w:rsidRPr="009A7D94">
        <w:rPr>
          <w:rFonts w:cs="Calibri"/>
        </w:rPr>
        <w:t>an increasing</w:t>
      </w:r>
      <w:r w:rsidRPr="009A7D94">
        <w:rPr>
          <w:rFonts w:cs="Calibri"/>
        </w:rPr>
        <w:t xml:space="preserve"> share of growth and our </w:t>
      </w:r>
      <w:r w:rsidR="00E440D7" w:rsidRPr="009A7D94">
        <w:rPr>
          <w:rFonts w:cs="Calibri"/>
        </w:rPr>
        <w:t xml:space="preserve">analysis </w:t>
      </w:r>
      <w:r w:rsidRPr="009A7D94">
        <w:rPr>
          <w:rFonts w:cs="Calibri"/>
        </w:rPr>
        <w:t xml:space="preserve">now turns </w:t>
      </w:r>
      <w:r w:rsidR="00414888" w:rsidRPr="009A7D94">
        <w:rPr>
          <w:rFonts w:cs="Calibri"/>
        </w:rPr>
        <w:t>to the</w:t>
      </w:r>
      <w:r w:rsidRPr="009A7D94">
        <w:rPr>
          <w:rFonts w:cs="Calibri"/>
        </w:rPr>
        <w:t xml:space="preserve"> factors that underpin its movement.  As argued above</w:t>
      </w:r>
      <w:r w:rsidR="004E19EA" w:rsidRPr="009A7D94">
        <w:rPr>
          <w:rFonts w:cs="Calibri"/>
        </w:rPr>
        <w:t>, it</w:t>
      </w:r>
      <w:r w:rsidRPr="009A7D94">
        <w:rPr>
          <w:rFonts w:cs="Calibri"/>
        </w:rPr>
        <w:t xml:space="preserve"> reflects the extent to which industries in an area grow faster or slower than their national counterpart. Hence it is capturing a local ‘</w:t>
      </w:r>
      <w:r w:rsidRPr="009A7D94">
        <w:t xml:space="preserve">competitiveness’ effect and may thus reflect a number of locally-specific factors like the existence of positive (or negative) externalities of various kinds, including the skill level of a region’s workforce, local market size effects, knowledge spillovers, comparative advantages in access to capital and perhaps the effects of specific government policies (Moore, et al, 1986), as well as other functional and competitive differences between firms within the same industry sector. </w:t>
      </w:r>
    </w:p>
    <w:p w:rsidR="00886C41" w:rsidRPr="009A7D94" w:rsidRDefault="00886C41" w:rsidP="009A7D94">
      <w:pPr>
        <w:spacing w:line="480" w:lineRule="auto"/>
        <w:jc w:val="both"/>
        <w:rPr>
          <w:rFonts w:cs="Calibri"/>
        </w:rPr>
      </w:pPr>
    </w:p>
    <w:p w:rsidR="00886C41" w:rsidRPr="009A7D94" w:rsidRDefault="00886C41" w:rsidP="009A7D94">
      <w:pPr>
        <w:spacing w:line="480" w:lineRule="auto"/>
        <w:jc w:val="both"/>
        <w:rPr>
          <w:rFonts w:cs="Calibri"/>
        </w:rPr>
      </w:pPr>
      <w:r w:rsidRPr="009A7D94">
        <w:rPr>
          <w:rFonts w:cs="Calibri"/>
        </w:rPr>
        <w:t xml:space="preserve">The complexity of the local growth process suggests that a search for any one underlying unified theory with which to explain the determinants of the local growth component is unlikely to be successful.  Moreover, the causal factors are likely to alter in relevance and intensity through time against a backdrop of the increasing pace </w:t>
      </w:r>
      <w:r w:rsidR="004E19EA" w:rsidRPr="009A7D94">
        <w:rPr>
          <w:rFonts w:cs="Calibri"/>
        </w:rPr>
        <w:t>of economic</w:t>
      </w:r>
      <w:r w:rsidRPr="009A7D94">
        <w:rPr>
          <w:rFonts w:cs="Calibri"/>
        </w:rPr>
        <w:t xml:space="preserve"> and technological change.  However, a considerable body of research has been undertaken that provides some helpful </w:t>
      </w:r>
      <w:r w:rsidR="00414888" w:rsidRPr="009A7D94">
        <w:rPr>
          <w:rFonts w:cs="Calibri"/>
        </w:rPr>
        <w:t>pointers to</w:t>
      </w:r>
      <w:r w:rsidRPr="009A7D94">
        <w:rPr>
          <w:rFonts w:cs="Calibri"/>
        </w:rPr>
        <w:t xml:space="preserve"> its explanation.  Thus, as a recent comprehensive study into the determinants of local growth undertaken by the OECD (2009) argued:</w:t>
      </w:r>
    </w:p>
    <w:p w:rsidR="00886C41" w:rsidRPr="005715F6" w:rsidRDefault="00886C41" w:rsidP="00886C41">
      <w:pPr>
        <w:pStyle w:val="Heading5"/>
        <w:numPr>
          <w:ilvl w:val="0"/>
          <w:numId w:val="0"/>
        </w:numPr>
        <w:ind w:left="567" w:right="559"/>
        <w:jc w:val="both"/>
        <w:rPr>
          <w:rFonts w:asciiTheme="minorHAnsi" w:hAnsiTheme="minorHAnsi" w:cs="Calibri"/>
          <w:sz w:val="20"/>
        </w:rPr>
      </w:pPr>
      <w:r w:rsidRPr="005715F6">
        <w:rPr>
          <w:rFonts w:asciiTheme="minorHAnsi" w:hAnsiTheme="minorHAnsi" w:cs="Calibri"/>
          <w:sz w:val="20"/>
        </w:rPr>
        <w:t xml:space="preserve">The conclusions from the very significant amount of research and econometric modelling undertaken by the OECD and other researchers is that regional economic development is the result of ‘the interplay between physical capital, </w:t>
      </w:r>
      <w:r w:rsidRPr="005715F6">
        <w:rPr>
          <w:rFonts w:asciiTheme="minorHAnsi" w:hAnsiTheme="minorHAnsi" w:cs="Calibri"/>
          <w:sz w:val="20"/>
        </w:rPr>
        <w:lastRenderedPageBreak/>
        <w:t>human capital and the business environment’ and the ‘benefits of strong interaction between different types of regional assets</w:t>
      </w:r>
      <w:r>
        <w:rPr>
          <w:rFonts w:asciiTheme="minorHAnsi" w:hAnsiTheme="minorHAnsi" w:cs="Calibri"/>
          <w:sz w:val="20"/>
        </w:rPr>
        <w:t>’</w:t>
      </w:r>
      <w:r w:rsidR="003D4A6C">
        <w:rPr>
          <w:rFonts w:asciiTheme="minorHAnsi" w:hAnsiTheme="minorHAnsi" w:cs="Calibri"/>
          <w:sz w:val="20"/>
        </w:rPr>
        <w:t>(page 46)</w:t>
      </w:r>
      <w:r w:rsidRPr="005715F6">
        <w:rPr>
          <w:rFonts w:asciiTheme="minorHAnsi" w:hAnsiTheme="minorHAnsi" w:cs="Calibri"/>
          <w:sz w:val="20"/>
        </w:rPr>
        <w:t>.</w:t>
      </w:r>
    </w:p>
    <w:p w:rsidR="00886C41" w:rsidRDefault="00886C41" w:rsidP="00886C41">
      <w:pPr>
        <w:rPr>
          <w:rFonts w:ascii="Georgia" w:hAnsi="Georgia"/>
          <w:sz w:val="22"/>
        </w:rPr>
      </w:pPr>
    </w:p>
    <w:p w:rsidR="00886C41" w:rsidRPr="009A7D94" w:rsidRDefault="00886C41" w:rsidP="009A7D94">
      <w:pPr>
        <w:spacing w:line="480" w:lineRule="auto"/>
        <w:jc w:val="both"/>
        <w:rPr>
          <w:rFonts w:cs="Calibri"/>
        </w:rPr>
      </w:pPr>
      <w:r w:rsidRPr="009A7D94">
        <w:t>Our results align with similar results by Ogus and Skinner (2010</w:t>
      </w:r>
      <w:r w:rsidR="008B24C6" w:rsidRPr="009A7D94">
        <w:t>)</w:t>
      </w:r>
      <w:r w:rsidRPr="009A7D94">
        <w:t xml:space="preserve"> who, using standard shift-share analysis, found that for most of the UK regions differential output growth (relative to the national average) over the boom period 1995-2007 was mainly attributable not to industrial structure but to regional shift effects. This effect implies that firms in different areas differ in technology, management, market access, and labour productivity.</w:t>
      </w:r>
      <w:r w:rsidRPr="009A7D94">
        <w:rPr>
          <w:rFonts w:cs="Calibri"/>
        </w:rPr>
        <w:t xml:space="preserve"> In the remainder of this article we extend our analysis in two further directions to help to throw light on the factors that are contributing to variations in local growth.  The first is to consider the role of agglomeration.  The second is to assess the contribution of enterprise formation. </w:t>
      </w:r>
    </w:p>
    <w:p w:rsidR="00886C41" w:rsidRPr="009A7D94" w:rsidRDefault="00886C41" w:rsidP="009A7D94">
      <w:pPr>
        <w:spacing w:line="480" w:lineRule="auto"/>
        <w:jc w:val="both"/>
      </w:pPr>
    </w:p>
    <w:p w:rsidR="00FB058C" w:rsidRPr="009A7D94" w:rsidRDefault="00FB058C" w:rsidP="00FB058C">
      <w:pPr>
        <w:spacing w:line="276" w:lineRule="auto"/>
        <w:jc w:val="both"/>
        <w:rPr>
          <w:rFonts w:cs="Calibri"/>
          <w:b/>
        </w:rPr>
      </w:pPr>
      <w:r w:rsidRPr="009A7D94">
        <w:rPr>
          <w:rFonts w:cs="Calibri"/>
          <w:b/>
        </w:rPr>
        <w:t xml:space="preserve">The impact of </w:t>
      </w:r>
      <w:r w:rsidR="003726FE" w:rsidRPr="009A7D94">
        <w:rPr>
          <w:rFonts w:cs="Calibri"/>
          <w:b/>
        </w:rPr>
        <w:t>agglomeration</w:t>
      </w:r>
      <w:r w:rsidR="00B80967" w:rsidRPr="009A7D94">
        <w:rPr>
          <w:rFonts w:cs="Calibri"/>
          <w:b/>
        </w:rPr>
        <w:t xml:space="preserve"> </w:t>
      </w:r>
    </w:p>
    <w:p w:rsidR="00FB058C" w:rsidRPr="008C1941" w:rsidRDefault="00FB058C" w:rsidP="00FB058C">
      <w:pPr>
        <w:jc w:val="both"/>
        <w:rPr>
          <w:sz w:val="22"/>
          <w:szCs w:val="22"/>
        </w:rPr>
      </w:pPr>
    </w:p>
    <w:p w:rsidR="00C55D80" w:rsidRPr="009A7D94" w:rsidRDefault="00886C41" w:rsidP="009A7D94">
      <w:pPr>
        <w:pStyle w:val="Default"/>
        <w:spacing w:line="480" w:lineRule="auto"/>
        <w:jc w:val="both"/>
        <w:rPr>
          <w:rFonts w:cstheme="minorHAnsi"/>
        </w:rPr>
      </w:pPr>
      <w:r w:rsidRPr="009A7D94">
        <w:t>In recent years there has been an extensive body of research into the contribution that agglomeration economies make to local economic growth (see for example Fujita, Krugman and Venables, 1999</w:t>
      </w:r>
      <w:r w:rsidR="008B24C6" w:rsidRPr="009A7D94">
        <w:t>)</w:t>
      </w:r>
      <w:r w:rsidRPr="009A7D94">
        <w:t>; Fujita and Thisse, 2002; World Bank, 2009; Storper, 2013</w:t>
      </w:r>
      <w:r w:rsidR="008B24C6" w:rsidRPr="009A7D94">
        <w:t>)</w:t>
      </w:r>
      <w:r w:rsidRPr="009A7D94">
        <w:t xml:space="preserve">. The ability of companies to gain increasing returns in urban areas and thus falling average costs has been extensively discussed (see Gardiner, et al, 2011, for a discussion). The increasing returns are argued to reflect the benefits to firms from economies of scale (large markets) and economies of scope (specialisation) and the gains that arise from labour, knowledge spillovers and spillovers with specialist suppliers.  NEG models build on the trade-offs between transport costs and the ability of companies to be able to realise the increasing returns </w:t>
      </w:r>
      <w:r w:rsidRPr="009A7D94">
        <w:lastRenderedPageBreak/>
        <w:t xml:space="preserve">associated with agglomeration.  An extensive amount of research into the possible benefits of agglomeration and density in the United Kingdom has been undertaken by the Department for Transport (DfT, 2005). </w:t>
      </w:r>
      <w:r w:rsidRPr="009A7D94">
        <w:rPr>
          <w:rFonts w:cs="Arial"/>
        </w:rPr>
        <w:t xml:space="preserve">The research has sought to identify the productivity gain arising from the change in the level of agglomeration. This is based on the elasticity of productivity with respect to “effective density”.  Calculating such elasticities can help to assess the impact of agglomeration enhancing transport investments. </w:t>
      </w:r>
      <w:r w:rsidRPr="009A7D94">
        <w:rPr>
          <w:rFonts w:cstheme="minorHAnsi"/>
        </w:rPr>
        <w:t xml:space="preserve">Rosenthal and Strange (2004) find that in the USA a doubling of urban size increases productivity by between 3 and 8 percent. </w:t>
      </w:r>
    </w:p>
    <w:p w:rsidR="00C55D80" w:rsidRPr="009A7D94" w:rsidRDefault="00C55D80" w:rsidP="009A7D94">
      <w:pPr>
        <w:pStyle w:val="Default"/>
        <w:spacing w:line="480" w:lineRule="auto"/>
        <w:jc w:val="both"/>
        <w:rPr>
          <w:rFonts w:cstheme="minorHAnsi"/>
        </w:rPr>
      </w:pPr>
    </w:p>
    <w:p w:rsidR="00A47643" w:rsidRPr="009A7D94" w:rsidRDefault="00886C41" w:rsidP="009A7D94">
      <w:pPr>
        <w:pStyle w:val="Default"/>
        <w:spacing w:line="480" w:lineRule="auto"/>
        <w:jc w:val="both"/>
        <w:rPr>
          <w:rFonts w:asciiTheme="minorHAnsi" w:hAnsiTheme="minorHAnsi" w:cs="Arial"/>
        </w:rPr>
      </w:pPr>
      <w:r w:rsidRPr="009A7D94">
        <w:t>A recent review of studies on the benefits of agglomeration finds that ‘the doubling of job density in an area can result on improvements in productivity in the range of four to thirteen per cent, depending on the size, industry structure and economic make-up of the location studied (Department of Transport,</w:t>
      </w:r>
      <w:r w:rsidR="0073449F" w:rsidRPr="009A7D94">
        <w:t xml:space="preserve"> </w:t>
      </w:r>
      <w:r w:rsidR="00E440D7" w:rsidRPr="009A7D94">
        <w:t xml:space="preserve">Victoria, </w:t>
      </w:r>
      <w:r w:rsidR="004E19EA" w:rsidRPr="009A7D94">
        <w:t>Australia</w:t>
      </w:r>
      <w:r w:rsidR="0073449F" w:rsidRPr="009A7D94">
        <w:t xml:space="preserve"> </w:t>
      </w:r>
      <w:r w:rsidRPr="009A7D94">
        <w:t>(2012).   However,</w:t>
      </w:r>
      <w:r w:rsidRPr="009A7D94">
        <w:rPr>
          <w:rFonts w:cstheme="minorHAnsi"/>
        </w:rPr>
        <w:t xml:space="preserve"> perhaps the most co</w:t>
      </w:r>
      <w:r w:rsidRPr="009A7D94">
        <w:rPr>
          <w:rFonts w:cs="Arial"/>
        </w:rPr>
        <w:t xml:space="preserve">mprehensive recent study has been undertaken by </w:t>
      </w:r>
      <w:r w:rsidRPr="009A7D94">
        <w:rPr>
          <w:rFonts w:cstheme="minorHAnsi"/>
        </w:rPr>
        <w:t>Melo, Graham and Noland (2008).  This research undertook a quantitative review of the literature and identified some 729 elasticities from 34 different studies.  They found that “country specific effects, the industrial coverage, the specification of agglomeration economies, and the presence of controls for both unobserved cross-country heterogeneity and differences in time variant labour quality can give rise to large differences in the results reported in the literature”</w:t>
      </w:r>
      <w:r w:rsidR="003F77B4" w:rsidRPr="009A7D94">
        <w:rPr>
          <w:rFonts w:cstheme="minorHAnsi"/>
        </w:rPr>
        <w:t>(Abstract, page 1)</w:t>
      </w:r>
      <w:r w:rsidRPr="009A7D94">
        <w:rPr>
          <w:rFonts w:cstheme="minorHAnsi"/>
        </w:rPr>
        <w:t>.</w:t>
      </w:r>
      <w:r w:rsidR="002B0560" w:rsidRPr="009A7D94">
        <w:rPr>
          <w:rFonts w:cstheme="minorHAnsi"/>
        </w:rPr>
        <w:t xml:space="preserve"> </w:t>
      </w:r>
      <w:r w:rsidR="002B0560" w:rsidRPr="009A7D94">
        <w:rPr>
          <w:rFonts w:asciiTheme="minorHAnsi" w:hAnsiTheme="minorHAnsi" w:cstheme="minorHAnsi"/>
        </w:rPr>
        <w:t xml:space="preserve">More recently, </w:t>
      </w:r>
      <w:r w:rsidR="006B290D" w:rsidRPr="009A7D94">
        <w:rPr>
          <w:rFonts w:asciiTheme="minorHAnsi" w:hAnsiTheme="minorHAnsi" w:cs="Arial"/>
        </w:rPr>
        <w:t>Harris and Moffat (2012</w:t>
      </w:r>
      <w:r w:rsidR="008B24C6" w:rsidRPr="009A7D94">
        <w:rPr>
          <w:rFonts w:asciiTheme="minorHAnsi" w:hAnsiTheme="minorHAnsi" w:cs="Arial"/>
        </w:rPr>
        <w:t>)</w:t>
      </w:r>
      <w:r w:rsidR="006B290D" w:rsidRPr="009A7D94">
        <w:rPr>
          <w:rFonts w:asciiTheme="minorHAnsi" w:hAnsiTheme="minorHAnsi" w:cs="Arial"/>
        </w:rPr>
        <w:t xml:space="preserve"> examined total factor productivity growth in </w:t>
      </w:r>
      <w:r w:rsidR="002B0560" w:rsidRPr="009A7D94">
        <w:rPr>
          <w:rFonts w:asciiTheme="minorHAnsi" w:hAnsiTheme="minorHAnsi" w:cs="Arial"/>
        </w:rPr>
        <w:t>L</w:t>
      </w:r>
      <w:r w:rsidR="006B290D" w:rsidRPr="009A7D94">
        <w:rPr>
          <w:rFonts w:asciiTheme="minorHAnsi" w:hAnsiTheme="minorHAnsi" w:cs="Arial"/>
        </w:rPr>
        <w:t xml:space="preserve">ocal </w:t>
      </w:r>
      <w:r w:rsidR="002B0560" w:rsidRPr="009A7D94">
        <w:rPr>
          <w:rFonts w:asciiTheme="minorHAnsi" w:hAnsiTheme="minorHAnsi" w:cs="Arial"/>
        </w:rPr>
        <w:t>E</w:t>
      </w:r>
      <w:r w:rsidR="006B290D" w:rsidRPr="009A7D94">
        <w:rPr>
          <w:rFonts w:asciiTheme="minorHAnsi" w:hAnsiTheme="minorHAnsi" w:cs="Arial"/>
        </w:rPr>
        <w:t xml:space="preserve">conomic </w:t>
      </w:r>
      <w:r w:rsidR="002B0560" w:rsidRPr="009A7D94">
        <w:rPr>
          <w:rFonts w:asciiTheme="minorHAnsi" w:hAnsiTheme="minorHAnsi" w:cs="Arial"/>
        </w:rPr>
        <w:t>P</w:t>
      </w:r>
      <w:r w:rsidR="006B290D" w:rsidRPr="009A7D94">
        <w:rPr>
          <w:rFonts w:asciiTheme="minorHAnsi" w:hAnsiTheme="minorHAnsi" w:cs="Arial"/>
        </w:rPr>
        <w:t xml:space="preserve">artnership </w:t>
      </w:r>
      <w:r w:rsidR="006B290D" w:rsidRPr="009A7D94">
        <w:rPr>
          <w:rFonts w:asciiTheme="minorHAnsi" w:hAnsiTheme="minorHAnsi" w:cs="Arial"/>
        </w:rPr>
        <w:lastRenderedPageBreak/>
        <w:t xml:space="preserve">regions in Britain over the period 1997-2008. They found that ‘the largest LEP areas in population terms with the highest levels of job density, greater reliance on manufacturing and skilled worker occupations, higher proportions of workers with NVQ4+ qualifications, and lower level of turnover of businesses, achieved the highest TFP growth. This strong performance is mostly the result of reallocations of output shares towards high productivity continuing plants and the opening of high productivity plants’.  </w:t>
      </w:r>
    </w:p>
    <w:p w:rsidR="00A47643" w:rsidRPr="009A7D94" w:rsidRDefault="00A47643" w:rsidP="009A7D94">
      <w:pPr>
        <w:pStyle w:val="Default"/>
        <w:spacing w:line="480" w:lineRule="auto"/>
        <w:jc w:val="both"/>
        <w:rPr>
          <w:rFonts w:ascii="Arial" w:hAnsi="Arial" w:cs="Arial"/>
          <w:i/>
        </w:rPr>
      </w:pPr>
    </w:p>
    <w:p w:rsidR="0089226E" w:rsidRPr="009A7D94" w:rsidRDefault="00C83BF7" w:rsidP="009A7D94">
      <w:pPr>
        <w:spacing w:line="480" w:lineRule="auto"/>
        <w:jc w:val="both"/>
      </w:pPr>
      <w:r w:rsidRPr="009A7D94">
        <w:rPr>
          <w:rFonts w:cs="Arial"/>
        </w:rPr>
        <w:t xml:space="preserve">In their seminal article on regional economic evolutions, Blanchard and Katz (1992) analysed differences in US state-level output and employment growth by deriving the cumulative annual change in the log of output (or employment) minus the cumulative annual change in the log of growth of output (employment).   When this approach is applied to the English LEP areas and the counties of Wales and Scotland, </w:t>
      </w:r>
      <w:r w:rsidR="003224A5" w:rsidRPr="009A7D94">
        <w:rPr>
          <w:rFonts w:cs="Arial"/>
        </w:rPr>
        <w:t>the</w:t>
      </w:r>
      <w:r w:rsidR="008912AE" w:rsidRPr="009A7D94">
        <w:rPr>
          <w:rFonts w:cs="Arial"/>
        </w:rPr>
        <w:t xml:space="preserve">re are </w:t>
      </w:r>
      <w:r w:rsidR="003224A5" w:rsidRPr="009A7D94">
        <w:rPr>
          <w:rFonts w:cs="Arial"/>
        </w:rPr>
        <w:t xml:space="preserve">substantial differences in the growth of GVA and employment between areas </w:t>
      </w:r>
      <w:r w:rsidR="008912AE" w:rsidRPr="009A7D94">
        <w:rPr>
          <w:rFonts w:cs="Arial"/>
        </w:rPr>
        <w:t xml:space="preserve">and we investigated </w:t>
      </w:r>
      <w:r w:rsidR="00414888" w:rsidRPr="009A7D94">
        <w:rPr>
          <w:rFonts w:cs="Arial"/>
        </w:rPr>
        <w:t xml:space="preserve">the </w:t>
      </w:r>
      <w:r w:rsidR="00414888" w:rsidRPr="009A7D94">
        <w:t>possible</w:t>
      </w:r>
      <w:r w:rsidR="006621B3" w:rsidRPr="009A7D94">
        <w:t xml:space="preserve"> contribution of </w:t>
      </w:r>
      <w:r w:rsidR="00DD58F2" w:rsidRPr="009A7D94">
        <w:t xml:space="preserve">agglomeration </w:t>
      </w:r>
      <w:r w:rsidR="0089226E" w:rsidRPr="009A7D94">
        <w:t xml:space="preserve">by </w:t>
      </w:r>
      <w:r w:rsidR="009A5371" w:rsidRPr="009A7D94">
        <w:t xml:space="preserve">grouping </w:t>
      </w:r>
      <w:r w:rsidR="00055A43" w:rsidRPr="009A7D94">
        <w:t xml:space="preserve">our </w:t>
      </w:r>
      <w:r w:rsidR="0089226E" w:rsidRPr="009A7D94">
        <w:t xml:space="preserve">local areas according to an effective </w:t>
      </w:r>
      <w:r w:rsidR="005946AB" w:rsidRPr="009A7D94">
        <w:t>population density</w:t>
      </w:r>
      <w:r w:rsidR="0089226E" w:rsidRPr="009A7D94">
        <w:t xml:space="preserve"> measure</w:t>
      </w:r>
      <w:r w:rsidR="00DD58F2" w:rsidRPr="009A7D94">
        <w:t xml:space="preserve">. </w:t>
      </w:r>
      <w:r w:rsidR="005946AB" w:rsidRPr="009A7D94">
        <w:t xml:space="preserve">There is an inevitably degree of arbitrariness in </w:t>
      </w:r>
      <w:r w:rsidR="00DD58F2" w:rsidRPr="009A7D94">
        <w:t xml:space="preserve">the approach but we derived </w:t>
      </w:r>
      <w:r w:rsidR="00BC5566" w:rsidRPr="009A7D94">
        <w:t>six broad groups</w:t>
      </w:r>
      <w:r w:rsidR="00C55D80" w:rsidRPr="009A7D94">
        <w:t xml:space="preserve">; namely London, Metropolitan, Urban, Semi-Urban, Rural and Very Rural. These </w:t>
      </w:r>
      <w:r w:rsidR="004E19EA" w:rsidRPr="009A7D94">
        <w:t>were based</w:t>
      </w:r>
      <w:r w:rsidR="004B7F1D" w:rsidRPr="009A7D94">
        <w:t xml:space="preserve"> on their population density indexed relative to Great Britain</w:t>
      </w:r>
      <w:r w:rsidR="00BC5566" w:rsidRPr="009A7D94">
        <w:t xml:space="preserve">. </w:t>
      </w:r>
      <w:r w:rsidR="004B7F1D" w:rsidRPr="009A7D94">
        <w:t xml:space="preserve">Appendix 3 presents the allocation.  </w:t>
      </w:r>
      <w:r w:rsidR="00364919" w:rsidRPr="009A7D94">
        <w:t xml:space="preserve">We present the results for the growth of </w:t>
      </w:r>
      <w:r w:rsidR="0089226E" w:rsidRPr="009A7D94">
        <w:t>output (GVA)</w:t>
      </w:r>
      <w:r w:rsidR="00BC5566" w:rsidRPr="009A7D94">
        <w:t xml:space="preserve"> </w:t>
      </w:r>
      <w:r w:rsidR="00364919" w:rsidRPr="009A7D94">
        <w:t xml:space="preserve">relative to that of the nation as a whole over the study period. </w:t>
      </w:r>
    </w:p>
    <w:p w:rsidR="00364919" w:rsidRPr="009A7D94" w:rsidRDefault="00364919" w:rsidP="009A7D94">
      <w:pPr>
        <w:spacing w:line="480" w:lineRule="auto"/>
        <w:jc w:val="both"/>
      </w:pPr>
    </w:p>
    <w:p w:rsidR="00907E63" w:rsidRPr="009A7D94" w:rsidRDefault="0089226E" w:rsidP="009A7D94">
      <w:pPr>
        <w:spacing w:line="480" w:lineRule="auto"/>
        <w:jc w:val="both"/>
      </w:pPr>
      <w:r w:rsidRPr="009A7D94">
        <w:t>Figure (1</w:t>
      </w:r>
      <w:r w:rsidR="007028E8" w:rsidRPr="009A7D94">
        <w:t>3</w:t>
      </w:r>
      <w:r w:rsidRPr="009A7D94">
        <w:t>)</w:t>
      </w:r>
      <w:r w:rsidR="00364919" w:rsidRPr="009A7D94">
        <w:t xml:space="preserve"> </w:t>
      </w:r>
      <w:r w:rsidRPr="009A7D94">
        <w:t>shows that the</w:t>
      </w:r>
      <w:r w:rsidR="00E440D7" w:rsidRPr="009A7D94">
        <w:t xml:space="preserve"> Metropolitan</w:t>
      </w:r>
      <w:r w:rsidR="00C55D80" w:rsidRPr="009A7D94">
        <w:t xml:space="preserve"> </w:t>
      </w:r>
      <w:r w:rsidRPr="009A7D94">
        <w:t xml:space="preserve">areas have seen relative decline in their employment, whilst the rural areas have experienced the opposite. </w:t>
      </w:r>
      <w:r w:rsidR="00C55D80" w:rsidRPr="009A7D94">
        <w:t xml:space="preserve"> </w:t>
      </w:r>
      <w:r w:rsidRPr="009A7D94">
        <w:t xml:space="preserve">London declined in the early part of the study period in line with the rest of the most urban areas but then experienced a turnaround. </w:t>
      </w:r>
      <w:r w:rsidR="00364919" w:rsidRPr="009A7D94">
        <w:t xml:space="preserve"> Figure (1</w:t>
      </w:r>
      <w:r w:rsidR="007028E8" w:rsidRPr="009A7D94">
        <w:t>4</w:t>
      </w:r>
      <w:r w:rsidR="00364919" w:rsidRPr="009A7D94">
        <w:t xml:space="preserve">) indicates that in general the </w:t>
      </w:r>
      <w:r w:rsidR="00E440D7" w:rsidRPr="009A7D94">
        <w:t xml:space="preserve">Metropolitan </w:t>
      </w:r>
      <w:r w:rsidR="00364919" w:rsidRPr="009A7D94">
        <w:t xml:space="preserve">areas have tended to suffer from having </w:t>
      </w:r>
      <w:r w:rsidR="0090790C" w:rsidRPr="009A7D94">
        <w:t xml:space="preserve">an adverse economic structure, unlike London which has benefitted from </w:t>
      </w:r>
      <w:r w:rsidR="0038070E" w:rsidRPr="009A7D94">
        <w:t xml:space="preserve">positive </w:t>
      </w:r>
      <w:r w:rsidR="0090790C" w:rsidRPr="009A7D94">
        <w:t>structural effects</w:t>
      </w:r>
      <w:r w:rsidR="0038070E" w:rsidRPr="009A7D94">
        <w:t>, particularly associated with financial services and banking</w:t>
      </w:r>
      <w:r w:rsidR="0090790C" w:rsidRPr="009A7D94">
        <w:t>.  Figure (1</w:t>
      </w:r>
      <w:r w:rsidR="007028E8" w:rsidRPr="009A7D94">
        <w:t>5</w:t>
      </w:r>
      <w:r w:rsidR="0090790C" w:rsidRPr="009A7D94">
        <w:t>) shows the contribution of the local growth</w:t>
      </w:r>
      <w:r w:rsidR="00FC21FD" w:rsidRPr="009A7D94">
        <w:t xml:space="preserve"> component</w:t>
      </w:r>
      <w:r w:rsidR="0090790C" w:rsidRPr="009A7D94">
        <w:t xml:space="preserve">. </w:t>
      </w:r>
    </w:p>
    <w:p w:rsidR="00907E63" w:rsidRDefault="00907E63" w:rsidP="00907E63">
      <w:pPr>
        <w:jc w:val="both"/>
        <w:rPr>
          <w:rFonts w:cs="Calibri"/>
          <w:sz w:val="22"/>
          <w:szCs w:val="22"/>
        </w:rPr>
      </w:pPr>
    </w:p>
    <w:p w:rsidR="002B19CD" w:rsidRDefault="00907E63" w:rsidP="00FE12DD">
      <w:pPr>
        <w:keepNext/>
        <w:jc w:val="both"/>
        <w:rPr>
          <w:b/>
          <w:sz w:val="22"/>
          <w:szCs w:val="22"/>
        </w:rPr>
      </w:pPr>
      <w:r>
        <w:rPr>
          <w:b/>
          <w:sz w:val="22"/>
          <w:szCs w:val="22"/>
        </w:rPr>
        <w:t>Figure (1</w:t>
      </w:r>
      <w:r w:rsidR="007028E8">
        <w:rPr>
          <w:b/>
          <w:sz w:val="22"/>
          <w:szCs w:val="22"/>
        </w:rPr>
        <w:t>3</w:t>
      </w:r>
      <w:r>
        <w:rPr>
          <w:b/>
          <w:sz w:val="22"/>
          <w:szCs w:val="22"/>
        </w:rPr>
        <w:t>). The growth of output relative</w:t>
      </w:r>
      <w:r w:rsidR="002B19CD">
        <w:rPr>
          <w:b/>
          <w:sz w:val="22"/>
          <w:szCs w:val="22"/>
        </w:rPr>
        <w:t xml:space="preserve"> to the national average by LEP</w:t>
      </w:r>
      <w:r>
        <w:rPr>
          <w:b/>
          <w:sz w:val="22"/>
          <w:szCs w:val="22"/>
        </w:rPr>
        <w:t xml:space="preserve">s grouped according to relative effective population </w:t>
      </w:r>
      <w:r w:rsidR="00414888">
        <w:rPr>
          <w:b/>
          <w:sz w:val="22"/>
          <w:szCs w:val="22"/>
        </w:rPr>
        <w:t xml:space="preserve">density. </w:t>
      </w:r>
    </w:p>
    <w:p w:rsidR="00907E63" w:rsidRPr="000853F0" w:rsidRDefault="000853F0" w:rsidP="00FE12DD">
      <w:pPr>
        <w:keepNext/>
        <w:jc w:val="both"/>
        <w:rPr>
          <w:b/>
          <w:sz w:val="22"/>
          <w:szCs w:val="22"/>
        </w:rPr>
      </w:pPr>
      <w:r w:rsidRPr="000853F0">
        <w:rPr>
          <w:noProof/>
          <w:szCs w:val="22"/>
          <w:lang w:val="en-GB" w:eastAsia="en-GB"/>
        </w:rPr>
        <w:drawing>
          <wp:inline distT="0" distB="0" distL="0" distR="0">
            <wp:extent cx="5035550" cy="3292607"/>
            <wp:effectExtent l="1905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5035550" cy="3292607"/>
                    </a:xfrm>
                    <a:prstGeom prst="rect">
                      <a:avLst/>
                    </a:prstGeom>
                    <a:noFill/>
                    <a:ln w="9525">
                      <a:noFill/>
                      <a:miter lim="800000"/>
                      <a:headEnd/>
                      <a:tailEnd/>
                    </a:ln>
                  </pic:spPr>
                </pic:pic>
              </a:graphicData>
            </a:graphic>
          </wp:inline>
        </w:drawing>
      </w:r>
    </w:p>
    <w:p w:rsidR="00907E63" w:rsidRDefault="00907E63" w:rsidP="00907E63">
      <w:pPr>
        <w:jc w:val="both"/>
        <w:rPr>
          <w:b/>
          <w:sz w:val="22"/>
          <w:szCs w:val="22"/>
        </w:rPr>
      </w:pPr>
    </w:p>
    <w:p w:rsidR="002B19CD" w:rsidRDefault="00907E63" w:rsidP="009A7D94">
      <w:pPr>
        <w:keepNext/>
        <w:jc w:val="both"/>
        <w:rPr>
          <w:b/>
          <w:sz w:val="20"/>
          <w:szCs w:val="20"/>
        </w:rPr>
      </w:pPr>
      <w:r>
        <w:rPr>
          <w:b/>
          <w:sz w:val="22"/>
          <w:szCs w:val="22"/>
        </w:rPr>
        <w:lastRenderedPageBreak/>
        <w:t>Figure (1</w:t>
      </w:r>
      <w:r w:rsidR="007028E8">
        <w:rPr>
          <w:b/>
          <w:sz w:val="22"/>
          <w:szCs w:val="22"/>
        </w:rPr>
        <w:t>4</w:t>
      </w:r>
      <w:r>
        <w:rPr>
          <w:b/>
          <w:sz w:val="22"/>
          <w:szCs w:val="22"/>
        </w:rPr>
        <w:t xml:space="preserve">.). </w:t>
      </w:r>
      <w:r w:rsidRPr="0090790C">
        <w:rPr>
          <w:b/>
          <w:sz w:val="20"/>
          <w:szCs w:val="20"/>
        </w:rPr>
        <w:t xml:space="preserve">The growth of output relative to the national average by LEP’s grouped according to relative effective population density; </w:t>
      </w:r>
      <w:r w:rsidR="004E19EA" w:rsidRPr="0090790C">
        <w:rPr>
          <w:b/>
          <w:sz w:val="20"/>
          <w:szCs w:val="20"/>
        </w:rPr>
        <w:t>the</w:t>
      </w:r>
      <w:r w:rsidRPr="0090790C">
        <w:rPr>
          <w:b/>
          <w:sz w:val="20"/>
          <w:szCs w:val="20"/>
        </w:rPr>
        <w:t xml:space="preserve"> contribution of industrial structure</w:t>
      </w:r>
      <w:r>
        <w:rPr>
          <w:b/>
          <w:sz w:val="20"/>
          <w:szCs w:val="20"/>
        </w:rPr>
        <w:t>.</w:t>
      </w:r>
    </w:p>
    <w:p w:rsidR="00907E63" w:rsidRDefault="000E6038" w:rsidP="009A7D94">
      <w:pPr>
        <w:keepNext/>
        <w:jc w:val="both"/>
        <w:rPr>
          <w:b/>
          <w:sz w:val="20"/>
          <w:szCs w:val="20"/>
        </w:rPr>
      </w:pPr>
      <w:r w:rsidRPr="000E6038">
        <w:rPr>
          <w:noProof/>
          <w:szCs w:val="20"/>
          <w:lang w:val="en-GB" w:eastAsia="en-GB"/>
        </w:rPr>
        <w:drawing>
          <wp:inline distT="0" distB="0" distL="0" distR="0">
            <wp:extent cx="5035550" cy="3292607"/>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5035550" cy="3292607"/>
                    </a:xfrm>
                    <a:prstGeom prst="rect">
                      <a:avLst/>
                    </a:prstGeom>
                    <a:noFill/>
                    <a:ln w="9525">
                      <a:noFill/>
                      <a:miter lim="800000"/>
                      <a:headEnd/>
                      <a:tailEnd/>
                    </a:ln>
                  </pic:spPr>
                </pic:pic>
              </a:graphicData>
            </a:graphic>
          </wp:inline>
        </w:drawing>
      </w:r>
    </w:p>
    <w:p w:rsidR="002B19CD" w:rsidRDefault="002B19CD" w:rsidP="00FE12DD">
      <w:pPr>
        <w:keepNext/>
        <w:jc w:val="both"/>
        <w:rPr>
          <w:b/>
          <w:sz w:val="22"/>
          <w:szCs w:val="22"/>
        </w:rPr>
      </w:pPr>
    </w:p>
    <w:p w:rsidR="002B19CD" w:rsidRDefault="00907E63" w:rsidP="00FE12DD">
      <w:pPr>
        <w:keepNext/>
        <w:jc w:val="both"/>
        <w:rPr>
          <w:b/>
          <w:sz w:val="28"/>
          <w:szCs w:val="20"/>
        </w:rPr>
      </w:pPr>
      <w:r>
        <w:rPr>
          <w:b/>
          <w:sz w:val="22"/>
          <w:szCs w:val="22"/>
        </w:rPr>
        <w:t>Figure (1</w:t>
      </w:r>
      <w:r w:rsidR="007028E8">
        <w:rPr>
          <w:b/>
          <w:sz w:val="22"/>
          <w:szCs w:val="22"/>
        </w:rPr>
        <w:t>5</w:t>
      </w:r>
      <w:r>
        <w:rPr>
          <w:b/>
          <w:sz w:val="22"/>
          <w:szCs w:val="22"/>
        </w:rPr>
        <w:t xml:space="preserve">). The growth of output relative to the national average by LEP’s grouped according to relative effective population density; </w:t>
      </w:r>
      <w:r w:rsidR="004E19EA">
        <w:rPr>
          <w:b/>
          <w:sz w:val="22"/>
          <w:szCs w:val="22"/>
        </w:rPr>
        <w:t>the</w:t>
      </w:r>
      <w:r>
        <w:rPr>
          <w:b/>
          <w:sz w:val="22"/>
          <w:szCs w:val="22"/>
        </w:rPr>
        <w:t xml:space="preserve"> </w:t>
      </w:r>
      <w:r w:rsidRPr="0090790C">
        <w:rPr>
          <w:b/>
          <w:sz w:val="20"/>
          <w:szCs w:val="20"/>
        </w:rPr>
        <w:t>contribution of the local growth component</w:t>
      </w:r>
      <w:r w:rsidR="006B290D" w:rsidRPr="006B290D">
        <w:rPr>
          <w:b/>
          <w:sz w:val="28"/>
          <w:szCs w:val="20"/>
        </w:rPr>
        <w:t xml:space="preserve">. </w:t>
      </w:r>
    </w:p>
    <w:p w:rsidR="000E6038" w:rsidRDefault="000E6038" w:rsidP="00FE12DD">
      <w:pPr>
        <w:keepNext/>
        <w:jc w:val="both"/>
        <w:rPr>
          <w:b/>
          <w:sz w:val="28"/>
          <w:szCs w:val="20"/>
        </w:rPr>
      </w:pPr>
      <w:r w:rsidRPr="000E6038">
        <w:rPr>
          <w:noProof/>
          <w:szCs w:val="20"/>
          <w:lang w:val="en-GB" w:eastAsia="en-GB"/>
        </w:rPr>
        <w:drawing>
          <wp:inline distT="0" distB="0" distL="0" distR="0">
            <wp:extent cx="5035550" cy="3292607"/>
            <wp:effectExtent l="1905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035550" cy="3292607"/>
                    </a:xfrm>
                    <a:prstGeom prst="rect">
                      <a:avLst/>
                    </a:prstGeom>
                    <a:noFill/>
                    <a:ln w="9525">
                      <a:noFill/>
                      <a:miter lim="800000"/>
                      <a:headEnd/>
                      <a:tailEnd/>
                    </a:ln>
                  </pic:spPr>
                </pic:pic>
              </a:graphicData>
            </a:graphic>
          </wp:inline>
        </w:drawing>
      </w:r>
    </w:p>
    <w:p w:rsidR="00907E63" w:rsidRDefault="00907E63" w:rsidP="00907E63">
      <w:pPr>
        <w:jc w:val="both"/>
        <w:rPr>
          <w:b/>
          <w:sz w:val="22"/>
          <w:szCs w:val="22"/>
        </w:rPr>
      </w:pPr>
    </w:p>
    <w:p w:rsidR="00CA3FB2" w:rsidRPr="009A7D94" w:rsidRDefault="0090790C" w:rsidP="009A7D94">
      <w:pPr>
        <w:spacing w:line="480" w:lineRule="auto"/>
        <w:jc w:val="both"/>
        <w:rPr>
          <w:rFonts w:cs="Calibri"/>
        </w:rPr>
      </w:pPr>
      <w:r w:rsidRPr="009A7D94">
        <w:t xml:space="preserve">The most urban areas have had a negative growth component contribution throughout the period. London is again an exception having experienced a </w:t>
      </w:r>
      <w:r w:rsidRPr="009A7D94">
        <w:lastRenderedPageBreak/>
        <w:t xml:space="preserve">positive growth contribution in recent years.  The negative growth component in the most urban areas throughout the period contrasts sharply with the experience of the more rural areas. </w:t>
      </w:r>
      <w:r w:rsidR="0061534A" w:rsidRPr="009A7D94">
        <w:t xml:space="preserve"> </w:t>
      </w:r>
      <w:r w:rsidRPr="009A7D94">
        <w:t xml:space="preserve">These results </w:t>
      </w:r>
      <w:r w:rsidR="00FC21FD" w:rsidRPr="009A7D94">
        <w:t xml:space="preserve">suggest </w:t>
      </w:r>
      <w:r w:rsidR="0038070E" w:rsidRPr="009A7D94">
        <w:t xml:space="preserve">that </w:t>
      </w:r>
      <w:r w:rsidR="00FC21FD" w:rsidRPr="009A7D94">
        <w:t xml:space="preserve">for England’s large conurbations the </w:t>
      </w:r>
      <w:r w:rsidR="0038070E" w:rsidRPr="009A7D94">
        <w:t xml:space="preserve">pronounced urban to rural shift observed over </w:t>
      </w:r>
      <w:r w:rsidR="002B365D" w:rsidRPr="009A7D94">
        <w:t>the 1960s and 1970s</w:t>
      </w:r>
      <w:r w:rsidR="0038070E" w:rsidRPr="009A7D94">
        <w:t xml:space="preserve"> (</w:t>
      </w:r>
      <w:r w:rsidR="002B365D" w:rsidRPr="009A7D94">
        <w:t xml:space="preserve">see </w:t>
      </w:r>
      <w:r w:rsidR="0038070E" w:rsidRPr="009A7D94">
        <w:t>F</w:t>
      </w:r>
      <w:r w:rsidRPr="009A7D94">
        <w:rPr>
          <w:rFonts w:cs="Calibri"/>
        </w:rPr>
        <w:t>othergill and Gudgin</w:t>
      </w:r>
      <w:r w:rsidR="002B365D" w:rsidRPr="009A7D94">
        <w:rPr>
          <w:rFonts w:cs="Calibri"/>
        </w:rPr>
        <w:t xml:space="preserve">, </w:t>
      </w:r>
      <w:r w:rsidRPr="009A7D94">
        <w:rPr>
          <w:rFonts w:cs="Calibri"/>
        </w:rPr>
        <w:t>1982)</w:t>
      </w:r>
      <w:r w:rsidR="00FC21FD" w:rsidRPr="009A7D94">
        <w:rPr>
          <w:rFonts w:cs="Calibri"/>
        </w:rPr>
        <w:t xml:space="preserve"> has continued </w:t>
      </w:r>
      <w:r w:rsidR="00414888" w:rsidRPr="009A7D94">
        <w:rPr>
          <w:rFonts w:cs="Calibri"/>
        </w:rPr>
        <w:t>to the</w:t>
      </w:r>
      <w:r w:rsidR="00FC21FD" w:rsidRPr="009A7D94">
        <w:rPr>
          <w:rFonts w:cs="Calibri"/>
        </w:rPr>
        <w:t xml:space="preserve"> present time</w:t>
      </w:r>
      <w:r w:rsidR="00886C41" w:rsidRPr="009A7D94">
        <w:rPr>
          <w:rFonts w:cs="Calibri"/>
        </w:rPr>
        <w:t xml:space="preserve"> albeit </w:t>
      </w:r>
      <w:r w:rsidR="00FC21FD" w:rsidRPr="009A7D94">
        <w:rPr>
          <w:rFonts w:cs="Calibri"/>
        </w:rPr>
        <w:t xml:space="preserve">with </w:t>
      </w:r>
      <w:r w:rsidR="00414888" w:rsidRPr="009A7D94">
        <w:rPr>
          <w:rFonts w:cs="Calibri"/>
        </w:rPr>
        <w:t>the exception</w:t>
      </w:r>
      <w:r w:rsidR="00FC21FD" w:rsidRPr="009A7D94">
        <w:rPr>
          <w:rFonts w:cs="Calibri"/>
        </w:rPr>
        <w:t xml:space="preserve"> of London.  </w:t>
      </w:r>
      <w:r w:rsidRPr="009A7D94">
        <w:rPr>
          <w:rFonts w:cs="Calibri"/>
        </w:rPr>
        <w:t xml:space="preserve">The strength of this relationship was such that at the regional level Fothergill and Gudgin were able to ‘predict’ the </w:t>
      </w:r>
      <w:r w:rsidR="00907E63" w:rsidRPr="009A7D94">
        <w:rPr>
          <w:rFonts w:cs="Calibri"/>
        </w:rPr>
        <w:t xml:space="preserve">regional </w:t>
      </w:r>
      <w:r w:rsidRPr="009A7D94">
        <w:rPr>
          <w:rFonts w:cs="Calibri"/>
        </w:rPr>
        <w:t xml:space="preserve">differential manufacturing employment shift over the period 1959-75 on the basis of </w:t>
      </w:r>
      <w:r w:rsidR="00907E63" w:rsidRPr="009A7D94">
        <w:rPr>
          <w:rFonts w:cs="Calibri"/>
        </w:rPr>
        <w:t xml:space="preserve">a region’s </w:t>
      </w:r>
      <w:r w:rsidRPr="009A7D94">
        <w:rPr>
          <w:rFonts w:cs="Calibri"/>
        </w:rPr>
        <w:t xml:space="preserve">relative degree of urbanization (Fothergill and Gudgin, 1982).  </w:t>
      </w:r>
      <w:r w:rsidR="00FC21FD" w:rsidRPr="009A7D94">
        <w:rPr>
          <w:rFonts w:cs="Calibri"/>
        </w:rPr>
        <w:t>T</w:t>
      </w:r>
      <w:r w:rsidRPr="009A7D94">
        <w:rPr>
          <w:rFonts w:cs="Calibri"/>
        </w:rPr>
        <w:t>hus, the North West</w:t>
      </w:r>
      <w:r w:rsidR="00FC21FD" w:rsidRPr="009A7D94">
        <w:rPr>
          <w:rFonts w:cs="Calibri"/>
        </w:rPr>
        <w:t xml:space="preserve"> region in England</w:t>
      </w:r>
      <w:r w:rsidRPr="009A7D94">
        <w:rPr>
          <w:rFonts w:cs="Calibri"/>
        </w:rPr>
        <w:t xml:space="preserve"> declined particularly badly because it had two very large conurbations; Manchester and Merseyside.  A relatively rural area like East Anglia with no large conurbation and relatively small and medium sized towns grew rapidly</w:t>
      </w:r>
      <w:r w:rsidR="00FC21FD" w:rsidRPr="009A7D94">
        <w:rPr>
          <w:rFonts w:cs="Calibri"/>
        </w:rPr>
        <w:t xml:space="preserve"> with a favourable local growth component.</w:t>
      </w:r>
      <w:r w:rsidR="00CA3FB2" w:rsidRPr="009A7D94">
        <w:rPr>
          <w:rFonts w:cs="Calibri"/>
        </w:rPr>
        <w:t xml:space="preserve"> </w:t>
      </w:r>
    </w:p>
    <w:p w:rsidR="0061534A" w:rsidRPr="009A7D94" w:rsidRDefault="0061534A" w:rsidP="009A7D94">
      <w:pPr>
        <w:spacing w:line="480" w:lineRule="auto"/>
        <w:jc w:val="both"/>
        <w:rPr>
          <w:rFonts w:cs="Calibri"/>
        </w:rPr>
      </w:pPr>
    </w:p>
    <w:p w:rsidR="00907E63" w:rsidRPr="009A7D94" w:rsidRDefault="00CA3FB2" w:rsidP="009A7D94">
      <w:pPr>
        <w:spacing w:line="480" w:lineRule="auto"/>
        <w:jc w:val="both"/>
        <w:rPr>
          <w:rFonts w:cs="Calibri"/>
        </w:rPr>
      </w:pPr>
      <w:r w:rsidRPr="009A7D94">
        <w:rPr>
          <w:rFonts w:cs="Calibri"/>
        </w:rPr>
        <w:t>The significant change since the time of the Fothergill and Gudgin research is</w:t>
      </w:r>
      <w:r w:rsidR="00907AED" w:rsidRPr="009A7D94">
        <w:rPr>
          <w:rFonts w:cs="Calibri"/>
        </w:rPr>
        <w:t xml:space="preserve"> the position of the </w:t>
      </w:r>
      <w:r w:rsidRPr="009A7D94">
        <w:rPr>
          <w:rFonts w:cs="Calibri"/>
        </w:rPr>
        <w:t>London conurbation which, unlike the other large British agglomerations</w:t>
      </w:r>
      <w:r w:rsidR="00907AED" w:rsidRPr="009A7D94">
        <w:rPr>
          <w:rFonts w:cs="Calibri"/>
        </w:rPr>
        <w:t xml:space="preserve">, </w:t>
      </w:r>
      <w:r w:rsidRPr="009A7D94">
        <w:rPr>
          <w:rFonts w:cs="Calibri"/>
        </w:rPr>
        <w:t>has been able to ‘turn around’ its local growth performance</w:t>
      </w:r>
      <w:r w:rsidR="00E5444D" w:rsidRPr="009A7D94">
        <w:rPr>
          <w:rFonts w:cs="Calibri"/>
        </w:rPr>
        <w:t>. Gardiner et al (2013) provide an extensive discussion of this</w:t>
      </w:r>
      <w:r w:rsidRPr="009A7D94">
        <w:rPr>
          <w:rFonts w:cs="Calibri"/>
        </w:rPr>
        <w:t xml:space="preserve">. </w:t>
      </w:r>
      <w:r w:rsidR="0090790C" w:rsidRPr="009A7D94">
        <w:rPr>
          <w:rFonts w:cs="Calibri"/>
        </w:rPr>
        <w:t>F</w:t>
      </w:r>
      <w:r w:rsidR="00FC21FD" w:rsidRPr="009A7D94">
        <w:rPr>
          <w:rFonts w:cs="Calibri"/>
        </w:rPr>
        <w:t xml:space="preserve">or the other English conurbations whatever the positive contribution they </w:t>
      </w:r>
      <w:r w:rsidR="00907E63" w:rsidRPr="009A7D94">
        <w:rPr>
          <w:rFonts w:cs="Calibri"/>
        </w:rPr>
        <w:t xml:space="preserve">may still </w:t>
      </w:r>
      <w:r w:rsidR="00FC21FD" w:rsidRPr="009A7D94">
        <w:rPr>
          <w:rFonts w:cs="Calibri"/>
        </w:rPr>
        <w:t xml:space="preserve">receive from agglomeration economies </w:t>
      </w:r>
      <w:r w:rsidR="00F17308" w:rsidRPr="009A7D94">
        <w:rPr>
          <w:rFonts w:cs="Calibri"/>
        </w:rPr>
        <w:t>such</w:t>
      </w:r>
      <w:r w:rsidR="00CB7410" w:rsidRPr="009A7D94">
        <w:rPr>
          <w:rFonts w:cs="Calibri"/>
        </w:rPr>
        <w:t xml:space="preserve"> benefits have been more than offset </w:t>
      </w:r>
      <w:r w:rsidR="00414888" w:rsidRPr="009A7D94">
        <w:rPr>
          <w:rFonts w:cs="Calibri"/>
        </w:rPr>
        <w:t>by stronger</w:t>
      </w:r>
      <w:r w:rsidR="00FC21FD" w:rsidRPr="009A7D94">
        <w:rPr>
          <w:rFonts w:cs="Calibri"/>
        </w:rPr>
        <w:t xml:space="preserve"> negative factors. </w:t>
      </w:r>
      <w:r w:rsidR="0061534A" w:rsidRPr="009A7D94">
        <w:rPr>
          <w:rFonts w:cs="Calibri"/>
        </w:rPr>
        <w:t xml:space="preserve"> As Figure 1</w:t>
      </w:r>
      <w:r w:rsidR="007028E8" w:rsidRPr="009A7D94">
        <w:rPr>
          <w:rFonts w:cs="Calibri"/>
        </w:rPr>
        <w:t>6</w:t>
      </w:r>
      <w:r w:rsidR="0061534A" w:rsidRPr="009A7D94">
        <w:rPr>
          <w:rFonts w:cs="Calibri"/>
        </w:rPr>
        <w:t xml:space="preserve"> shows most clearly London and the other English conurbations are </w:t>
      </w:r>
      <w:r w:rsidR="002B365D" w:rsidRPr="009A7D94">
        <w:rPr>
          <w:rFonts w:cs="Calibri"/>
        </w:rPr>
        <w:t>dramatically different in this respect</w:t>
      </w:r>
      <w:r w:rsidR="0061534A" w:rsidRPr="009A7D94">
        <w:rPr>
          <w:rFonts w:cs="Calibri"/>
        </w:rPr>
        <w:t>.</w:t>
      </w:r>
    </w:p>
    <w:p w:rsidR="0061534A" w:rsidRDefault="0061534A" w:rsidP="002F2642">
      <w:pPr>
        <w:spacing w:line="276" w:lineRule="auto"/>
        <w:jc w:val="both"/>
        <w:rPr>
          <w:rFonts w:cs="Calibri"/>
          <w:sz w:val="22"/>
          <w:szCs w:val="22"/>
        </w:rPr>
      </w:pPr>
    </w:p>
    <w:p w:rsidR="0061534A" w:rsidRDefault="0061534A" w:rsidP="002F2642">
      <w:pPr>
        <w:spacing w:line="276" w:lineRule="auto"/>
        <w:jc w:val="both"/>
        <w:rPr>
          <w:rFonts w:cs="Calibri"/>
          <w:sz w:val="22"/>
          <w:szCs w:val="22"/>
        </w:rPr>
      </w:pPr>
    </w:p>
    <w:p w:rsidR="002B19CD" w:rsidRDefault="0061534A" w:rsidP="0061534A">
      <w:pPr>
        <w:jc w:val="both"/>
        <w:rPr>
          <w:b/>
          <w:sz w:val="22"/>
          <w:szCs w:val="22"/>
        </w:rPr>
      </w:pPr>
      <w:r>
        <w:rPr>
          <w:b/>
          <w:sz w:val="22"/>
          <w:szCs w:val="22"/>
        </w:rPr>
        <w:lastRenderedPageBreak/>
        <w:t>Figure (1</w:t>
      </w:r>
      <w:r w:rsidR="00CB4380">
        <w:rPr>
          <w:b/>
          <w:sz w:val="22"/>
          <w:szCs w:val="22"/>
        </w:rPr>
        <w:t>6</w:t>
      </w:r>
      <w:r>
        <w:rPr>
          <w:b/>
          <w:sz w:val="22"/>
          <w:szCs w:val="22"/>
        </w:rPr>
        <w:t>). The growth of output relative to the national average for London compared to the rest of the British conurbations; the contribution of the local growth component.</w:t>
      </w:r>
    </w:p>
    <w:p w:rsidR="0061534A" w:rsidRDefault="0061534A" w:rsidP="0061534A">
      <w:pPr>
        <w:jc w:val="both"/>
        <w:rPr>
          <w:b/>
        </w:rPr>
      </w:pPr>
    </w:p>
    <w:p w:rsidR="0061534A" w:rsidRDefault="0061534A" w:rsidP="0061534A">
      <w:pPr>
        <w:jc w:val="both"/>
        <w:rPr>
          <w:b/>
          <w:sz w:val="22"/>
          <w:szCs w:val="22"/>
        </w:rPr>
      </w:pPr>
      <w:r w:rsidRPr="00916300">
        <w:rPr>
          <w:b/>
          <w:noProof/>
          <w:sz w:val="22"/>
          <w:szCs w:val="22"/>
          <w:lang w:val="en-GB" w:eastAsia="en-GB"/>
        </w:rPr>
        <w:drawing>
          <wp:inline distT="0" distB="0" distL="0" distR="0">
            <wp:extent cx="5035550" cy="3290861"/>
            <wp:effectExtent l="19050" t="0" r="12700" b="4789"/>
            <wp:docPr id="1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1534A" w:rsidRDefault="0061534A" w:rsidP="0061534A">
      <w:pPr>
        <w:jc w:val="both"/>
        <w:rPr>
          <w:b/>
          <w:sz w:val="22"/>
          <w:szCs w:val="22"/>
        </w:rPr>
      </w:pPr>
    </w:p>
    <w:p w:rsidR="002B365D" w:rsidRDefault="002B365D" w:rsidP="002F2642">
      <w:pPr>
        <w:spacing w:line="276" w:lineRule="auto"/>
        <w:jc w:val="both"/>
        <w:rPr>
          <w:rFonts w:cs="Calibri"/>
          <w:sz w:val="22"/>
          <w:szCs w:val="22"/>
        </w:rPr>
      </w:pPr>
    </w:p>
    <w:p w:rsidR="0090790C" w:rsidRPr="00B013FE" w:rsidRDefault="00FC21FD" w:rsidP="00B013FE">
      <w:pPr>
        <w:spacing w:line="480" w:lineRule="auto"/>
        <w:jc w:val="both"/>
        <w:rPr>
          <w:rFonts w:cs="Calibri"/>
        </w:rPr>
      </w:pPr>
      <w:r w:rsidRPr="00B013FE">
        <w:rPr>
          <w:rFonts w:cs="Calibri"/>
        </w:rPr>
        <w:t>F</w:t>
      </w:r>
      <w:r w:rsidR="0090790C" w:rsidRPr="00B013FE">
        <w:rPr>
          <w:rFonts w:cs="Calibri"/>
        </w:rPr>
        <w:t xml:space="preserve">rom the mid 1970s onwards researchers have sought to </w:t>
      </w:r>
      <w:r w:rsidR="0061534A" w:rsidRPr="00B013FE">
        <w:rPr>
          <w:rFonts w:cs="Calibri"/>
        </w:rPr>
        <w:t xml:space="preserve">understand what have been the economic factors underpinning the </w:t>
      </w:r>
      <w:r w:rsidR="002B365D" w:rsidRPr="00B013FE">
        <w:rPr>
          <w:rFonts w:cs="Calibri"/>
        </w:rPr>
        <w:t>‘</w:t>
      </w:r>
      <w:r w:rsidR="0061534A" w:rsidRPr="00B013FE">
        <w:rPr>
          <w:rFonts w:cs="Calibri"/>
        </w:rPr>
        <w:t>urban</w:t>
      </w:r>
      <w:r w:rsidR="002B365D" w:rsidRPr="00B013FE">
        <w:rPr>
          <w:rFonts w:cs="Calibri"/>
        </w:rPr>
        <w:t>-</w:t>
      </w:r>
      <w:r w:rsidR="0061534A" w:rsidRPr="00B013FE">
        <w:rPr>
          <w:rFonts w:cs="Calibri"/>
        </w:rPr>
        <w:t>rural shift</w:t>
      </w:r>
      <w:r w:rsidR="002B365D" w:rsidRPr="00B013FE">
        <w:rPr>
          <w:rFonts w:cs="Calibri"/>
        </w:rPr>
        <w:t>’</w:t>
      </w:r>
      <w:r w:rsidR="0061534A" w:rsidRPr="00B013FE">
        <w:rPr>
          <w:rFonts w:cs="Calibri"/>
        </w:rPr>
        <w:t xml:space="preserve">. </w:t>
      </w:r>
      <w:r w:rsidR="00346871" w:rsidRPr="00B013FE">
        <w:rPr>
          <w:rFonts w:cs="Calibri"/>
        </w:rPr>
        <w:t xml:space="preserve"> </w:t>
      </w:r>
      <w:r w:rsidR="0090790C" w:rsidRPr="00B013FE">
        <w:rPr>
          <w:rFonts w:cs="Calibri"/>
        </w:rPr>
        <w:t xml:space="preserve">A number of theories </w:t>
      </w:r>
      <w:r w:rsidR="00346871" w:rsidRPr="00B013FE">
        <w:rPr>
          <w:rFonts w:cs="Calibri"/>
        </w:rPr>
        <w:t xml:space="preserve">have been </w:t>
      </w:r>
      <w:r w:rsidR="002F2642" w:rsidRPr="00B013FE">
        <w:rPr>
          <w:rFonts w:cs="Calibri"/>
        </w:rPr>
        <w:t>investigated</w:t>
      </w:r>
      <w:r w:rsidR="00346871" w:rsidRPr="00B013FE">
        <w:rPr>
          <w:rFonts w:cs="Calibri"/>
        </w:rPr>
        <w:t xml:space="preserve"> and all of them have tended to </w:t>
      </w:r>
      <w:r w:rsidR="0090790C" w:rsidRPr="00B013FE">
        <w:rPr>
          <w:rFonts w:cs="Calibri"/>
        </w:rPr>
        <w:t>contribute something to an understanding of the factors involved.</w:t>
      </w:r>
      <w:r w:rsidR="002F2642" w:rsidRPr="00B013FE">
        <w:rPr>
          <w:rFonts w:cs="Calibri"/>
        </w:rPr>
        <w:t xml:space="preserve"> </w:t>
      </w:r>
      <w:r w:rsidR="00346871" w:rsidRPr="00B013FE">
        <w:rPr>
          <w:rFonts w:cs="Calibri"/>
        </w:rPr>
        <w:t xml:space="preserve"> </w:t>
      </w:r>
      <w:r w:rsidR="0090790C" w:rsidRPr="00B013FE">
        <w:rPr>
          <w:rFonts w:cs="Calibri"/>
        </w:rPr>
        <w:t xml:space="preserve">Fothergill and Gudgin </w:t>
      </w:r>
      <w:r w:rsidR="002F2642" w:rsidRPr="00B013FE">
        <w:rPr>
          <w:rFonts w:cs="Calibri"/>
        </w:rPr>
        <w:t xml:space="preserve">found in their research that </w:t>
      </w:r>
      <w:r w:rsidR="003C56BF" w:rsidRPr="00B013FE">
        <w:rPr>
          <w:rFonts w:cs="Calibri"/>
        </w:rPr>
        <w:t xml:space="preserve">a significant factor that </w:t>
      </w:r>
      <w:r w:rsidR="0090790C" w:rsidRPr="00B013FE">
        <w:rPr>
          <w:rFonts w:cs="Calibri"/>
        </w:rPr>
        <w:t>distinguish</w:t>
      </w:r>
      <w:r w:rsidR="00907E63" w:rsidRPr="00B013FE">
        <w:rPr>
          <w:rFonts w:cs="Calibri"/>
        </w:rPr>
        <w:t>ed</w:t>
      </w:r>
      <w:r w:rsidR="0090790C" w:rsidRPr="00B013FE">
        <w:rPr>
          <w:rFonts w:cs="Calibri"/>
        </w:rPr>
        <w:t xml:space="preserve"> the relative pattern of employment change (as a proxy for economic growth) between urban and more rural areas was </w:t>
      </w:r>
      <w:r w:rsidR="00907E63" w:rsidRPr="00B013FE">
        <w:rPr>
          <w:rFonts w:cs="Calibri"/>
        </w:rPr>
        <w:t xml:space="preserve">differences in the relative </w:t>
      </w:r>
      <w:r w:rsidR="0090790C" w:rsidRPr="00B013FE">
        <w:rPr>
          <w:rFonts w:cs="Calibri"/>
        </w:rPr>
        <w:t xml:space="preserve">ability of companies </w:t>
      </w:r>
      <w:r w:rsidR="00907E63" w:rsidRPr="00B013FE">
        <w:rPr>
          <w:rFonts w:cs="Calibri"/>
        </w:rPr>
        <w:t xml:space="preserve">in each area </w:t>
      </w:r>
      <w:r w:rsidR="0090790C" w:rsidRPr="00B013FE">
        <w:rPr>
          <w:rFonts w:cs="Calibri"/>
        </w:rPr>
        <w:t xml:space="preserve">to expand and grow rather than significant differences in new firm formation, industrial movement, closure rates or in-situ shrinkage.  </w:t>
      </w:r>
      <w:r w:rsidR="00346871" w:rsidRPr="00B013FE">
        <w:rPr>
          <w:rFonts w:cs="Calibri"/>
        </w:rPr>
        <w:t xml:space="preserve"> </w:t>
      </w:r>
      <w:r w:rsidR="0090790C" w:rsidRPr="00B013FE">
        <w:rPr>
          <w:rFonts w:cs="Calibri"/>
        </w:rPr>
        <w:t xml:space="preserve">In general, manufacturing in both urban and rural areas was experiencing relative decline in existing plants at something like the same rate reflecting the influence of increasing international competition </w:t>
      </w:r>
      <w:r w:rsidR="00907E63" w:rsidRPr="00B013FE">
        <w:rPr>
          <w:rFonts w:cs="Calibri"/>
        </w:rPr>
        <w:t xml:space="preserve">and </w:t>
      </w:r>
      <w:r w:rsidR="0090790C" w:rsidRPr="00B013FE">
        <w:rPr>
          <w:rFonts w:cs="Calibri"/>
        </w:rPr>
        <w:lastRenderedPageBreak/>
        <w:t xml:space="preserve">manufacturing companies </w:t>
      </w:r>
      <w:r w:rsidR="00427391" w:rsidRPr="00B013FE">
        <w:rPr>
          <w:rFonts w:cs="Calibri"/>
        </w:rPr>
        <w:t>seeking to replace capital for labour with a resulting increased</w:t>
      </w:r>
      <w:r w:rsidR="0090790C" w:rsidRPr="00B013FE">
        <w:rPr>
          <w:rFonts w:cs="Calibri"/>
        </w:rPr>
        <w:t xml:space="preserve"> the amount of floorspace per worker</w:t>
      </w:r>
      <w:r w:rsidR="00427391" w:rsidRPr="00B013FE">
        <w:rPr>
          <w:rFonts w:cs="Calibri"/>
        </w:rPr>
        <w:t>.</w:t>
      </w:r>
    </w:p>
    <w:p w:rsidR="0090790C" w:rsidRPr="00B013FE" w:rsidRDefault="0090790C" w:rsidP="00B013FE">
      <w:pPr>
        <w:spacing w:line="480" w:lineRule="auto"/>
        <w:jc w:val="both"/>
        <w:rPr>
          <w:rFonts w:cs="Calibri"/>
        </w:rPr>
      </w:pPr>
    </w:p>
    <w:p w:rsidR="0090790C" w:rsidRPr="00B013FE" w:rsidRDefault="0090790C" w:rsidP="00B013FE">
      <w:pPr>
        <w:spacing w:line="480" w:lineRule="auto"/>
        <w:jc w:val="both"/>
        <w:rPr>
          <w:rFonts w:cs="Calibri"/>
        </w:rPr>
      </w:pPr>
      <w:r w:rsidRPr="00B013FE">
        <w:rPr>
          <w:rFonts w:cs="Calibri"/>
        </w:rPr>
        <w:t xml:space="preserve">The </w:t>
      </w:r>
      <w:r w:rsidR="00427391" w:rsidRPr="00B013FE">
        <w:rPr>
          <w:rFonts w:cs="Calibri"/>
        </w:rPr>
        <w:t xml:space="preserve">implication of the </w:t>
      </w:r>
      <w:r w:rsidRPr="00B013FE">
        <w:rPr>
          <w:rFonts w:cs="Calibri"/>
        </w:rPr>
        <w:t xml:space="preserve">Fothergill and Gudgin thesis was that the denser the settlement, i.e. the more urban, the more constrained the majority of its businesses where likely to be in terms of them being able to expand as they sought to introduce new </w:t>
      </w:r>
      <w:r w:rsidR="00427391" w:rsidRPr="00B013FE">
        <w:rPr>
          <w:rFonts w:cs="Calibri"/>
        </w:rPr>
        <w:t>investment.  T</w:t>
      </w:r>
      <w:r w:rsidRPr="00B013FE">
        <w:rPr>
          <w:rFonts w:cs="Calibri"/>
        </w:rPr>
        <w:t>his was, in part, an inevitable feature of the physical development of cities</w:t>
      </w:r>
      <w:r w:rsidR="002B365D" w:rsidRPr="00B013FE">
        <w:rPr>
          <w:rFonts w:cs="Calibri"/>
        </w:rPr>
        <w:t>,</w:t>
      </w:r>
      <w:r w:rsidRPr="00B013FE">
        <w:rPr>
          <w:rFonts w:cs="Calibri"/>
        </w:rPr>
        <w:t xml:space="preserve"> and in</w:t>
      </w:r>
      <w:r w:rsidR="002B365D" w:rsidRPr="00B013FE">
        <w:rPr>
          <w:rFonts w:cs="Calibri"/>
        </w:rPr>
        <w:t xml:space="preserve"> </w:t>
      </w:r>
      <w:r w:rsidRPr="00B013FE">
        <w:rPr>
          <w:rFonts w:cs="Calibri"/>
        </w:rPr>
        <w:t xml:space="preserve">fact as early as the 1930s the Barlow Report (Barlow, 1940) highlighted that inner city </w:t>
      </w:r>
      <w:r w:rsidR="00346871" w:rsidRPr="00B013FE">
        <w:rPr>
          <w:rFonts w:cs="Calibri"/>
        </w:rPr>
        <w:t xml:space="preserve">manufacturing </w:t>
      </w:r>
      <w:r w:rsidRPr="00B013FE">
        <w:rPr>
          <w:rFonts w:cs="Calibri"/>
        </w:rPr>
        <w:t xml:space="preserve">companies in London were beginning to move to </w:t>
      </w:r>
      <w:r w:rsidR="00346871" w:rsidRPr="00B013FE">
        <w:rPr>
          <w:rFonts w:cs="Calibri"/>
        </w:rPr>
        <w:t>l</w:t>
      </w:r>
      <w:r w:rsidRPr="00B013FE">
        <w:rPr>
          <w:rFonts w:cs="Calibri"/>
        </w:rPr>
        <w:t xml:space="preserve">ocations in the London periphery </w:t>
      </w:r>
      <w:r w:rsidR="00427391" w:rsidRPr="00B013FE">
        <w:rPr>
          <w:rFonts w:cs="Calibri"/>
        </w:rPr>
        <w:t>as a result of this phenomenon.</w:t>
      </w:r>
      <w:r w:rsidRPr="00B013FE">
        <w:rPr>
          <w:rFonts w:cs="Calibri"/>
        </w:rPr>
        <w:t xml:space="preserve"> </w:t>
      </w:r>
      <w:r w:rsidR="00346871" w:rsidRPr="00B013FE">
        <w:rPr>
          <w:rFonts w:cs="Calibri"/>
        </w:rPr>
        <w:t xml:space="preserve"> </w:t>
      </w:r>
      <w:r w:rsidR="00427391" w:rsidRPr="00B013FE">
        <w:rPr>
          <w:rFonts w:cs="Calibri"/>
        </w:rPr>
        <w:t xml:space="preserve">The arrival of the Town and Country Planning Act and </w:t>
      </w:r>
      <w:r w:rsidR="00346871" w:rsidRPr="00B013FE">
        <w:rPr>
          <w:rFonts w:cs="Calibri"/>
        </w:rPr>
        <w:t xml:space="preserve">the introduction of </w:t>
      </w:r>
      <w:r w:rsidR="00427391" w:rsidRPr="00B013FE">
        <w:rPr>
          <w:rFonts w:cs="Calibri"/>
        </w:rPr>
        <w:t xml:space="preserve">Green Belts simply meant that companies were </w:t>
      </w:r>
      <w:r w:rsidRPr="00B013FE">
        <w:rPr>
          <w:rFonts w:cs="Calibri"/>
        </w:rPr>
        <w:t>displaced further in their search for space.   In cities with less restriction on the expansion of the periphery the result was more expansion around the city edge.</w:t>
      </w:r>
      <w:r w:rsidR="00427391" w:rsidRPr="00B013FE">
        <w:rPr>
          <w:rFonts w:cs="Calibri"/>
        </w:rPr>
        <w:t xml:space="preserve"> </w:t>
      </w:r>
    </w:p>
    <w:p w:rsidR="0066511A" w:rsidRPr="00B013FE" w:rsidRDefault="0066511A" w:rsidP="00B013FE">
      <w:pPr>
        <w:spacing w:line="480" w:lineRule="auto"/>
        <w:jc w:val="both"/>
        <w:rPr>
          <w:rFonts w:cs="Calibri"/>
        </w:rPr>
      </w:pPr>
    </w:p>
    <w:p w:rsidR="0090790C" w:rsidRPr="00B013FE" w:rsidRDefault="0090790C" w:rsidP="00B013FE">
      <w:pPr>
        <w:spacing w:line="480" w:lineRule="auto"/>
        <w:jc w:val="both"/>
        <w:rPr>
          <w:rFonts w:cs="Calibri"/>
        </w:rPr>
      </w:pPr>
      <w:r w:rsidRPr="00B013FE">
        <w:rPr>
          <w:rFonts w:cs="Calibri"/>
        </w:rPr>
        <w:t xml:space="preserve">Fothergill and Gudgin </w:t>
      </w:r>
      <w:r w:rsidR="00016694" w:rsidRPr="00B013FE">
        <w:rPr>
          <w:rFonts w:cs="Calibri"/>
        </w:rPr>
        <w:t>(1982</w:t>
      </w:r>
      <w:r w:rsidRPr="00B013FE">
        <w:rPr>
          <w:rFonts w:cs="Calibri"/>
        </w:rPr>
        <w:t>)</w:t>
      </w:r>
      <w:r w:rsidR="00016694" w:rsidRPr="00B013FE">
        <w:rPr>
          <w:rFonts w:cs="Calibri"/>
        </w:rPr>
        <w:t xml:space="preserve"> and others (Moore et al</w:t>
      </w:r>
      <w:r w:rsidR="00BF3D14" w:rsidRPr="00B013FE">
        <w:rPr>
          <w:rFonts w:cs="Calibri"/>
        </w:rPr>
        <w:t>, 1982</w:t>
      </w:r>
      <w:r w:rsidR="00016694" w:rsidRPr="00B013FE">
        <w:rPr>
          <w:rFonts w:cs="Calibri"/>
        </w:rPr>
        <w:t xml:space="preserve">),  </w:t>
      </w:r>
      <w:r w:rsidRPr="00B013FE">
        <w:rPr>
          <w:rFonts w:cs="Calibri"/>
        </w:rPr>
        <w:t>pointed out that although the movement of companies, often as a result of regional and urban policy</w:t>
      </w:r>
      <w:r w:rsidR="00016694" w:rsidRPr="00B013FE">
        <w:rPr>
          <w:rFonts w:cs="Calibri"/>
        </w:rPr>
        <w:t>,</w:t>
      </w:r>
      <w:r w:rsidR="00427391" w:rsidRPr="00B013FE">
        <w:rPr>
          <w:rFonts w:cs="Calibri"/>
        </w:rPr>
        <w:t xml:space="preserve"> </w:t>
      </w:r>
      <w:r w:rsidRPr="00B013FE">
        <w:rPr>
          <w:rFonts w:cs="Calibri"/>
        </w:rPr>
        <w:t>had an influence on the urban rural shift it was by no means the dominant force at work</w:t>
      </w:r>
      <w:r w:rsidR="00346871" w:rsidRPr="00B013FE">
        <w:rPr>
          <w:rFonts w:cs="Calibri"/>
        </w:rPr>
        <w:t>.</w:t>
      </w:r>
      <w:r w:rsidR="00427391" w:rsidRPr="00B013FE">
        <w:rPr>
          <w:rFonts w:cs="Calibri"/>
        </w:rPr>
        <w:t xml:space="preserve"> </w:t>
      </w:r>
      <w:r w:rsidRPr="00B013FE">
        <w:rPr>
          <w:rFonts w:cs="Calibri"/>
        </w:rPr>
        <w:t xml:space="preserve">Other </w:t>
      </w:r>
      <w:r w:rsidR="00427391" w:rsidRPr="00B013FE">
        <w:rPr>
          <w:rFonts w:cs="Calibri"/>
        </w:rPr>
        <w:t xml:space="preserve">researchers </w:t>
      </w:r>
      <w:r w:rsidRPr="00B013FE">
        <w:rPr>
          <w:rFonts w:cs="Calibri"/>
        </w:rPr>
        <w:t xml:space="preserve">have highlighted the contribution that firm size has made to differences in economic growth between areas.  As the last century progressed the size of companies in British manufacturing expanded so that by 1980 a very large part of all industrial production was being produced in the larger companies.  Many of these large companies </w:t>
      </w:r>
      <w:r w:rsidRPr="00B013FE">
        <w:rPr>
          <w:rFonts w:cs="Calibri"/>
        </w:rPr>
        <w:lastRenderedPageBreak/>
        <w:t>were concentrated in the larger urban areas</w:t>
      </w:r>
      <w:r w:rsidR="00427391" w:rsidRPr="00B013FE">
        <w:rPr>
          <w:rFonts w:cs="Calibri"/>
        </w:rPr>
        <w:t xml:space="preserve"> and there is evidence to suggest that a</w:t>
      </w:r>
      <w:r w:rsidRPr="00B013FE">
        <w:rPr>
          <w:rFonts w:cs="Calibri"/>
        </w:rPr>
        <w:t>reas with a few large firms have tended to be associated with relatively lower levels of new start-ups compared with other areas.  Thus, when these large companies closed the areas in which they were located found it harder to create new activities to replace them.   And, other</w:t>
      </w:r>
      <w:r w:rsidR="00427391" w:rsidRPr="00B013FE">
        <w:rPr>
          <w:rFonts w:cs="Calibri"/>
        </w:rPr>
        <w:t xml:space="preserve">s pointed </w:t>
      </w:r>
      <w:r w:rsidRPr="00B013FE">
        <w:rPr>
          <w:rFonts w:cs="Calibri"/>
        </w:rPr>
        <w:t xml:space="preserve">to the </w:t>
      </w:r>
      <w:r w:rsidR="00427391" w:rsidRPr="00B013FE">
        <w:rPr>
          <w:rFonts w:cs="Calibri"/>
        </w:rPr>
        <w:t xml:space="preserve">impact of </w:t>
      </w:r>
      <w:r w:rsidRPr="00B013FE">
        <w:rPr>
          <w:rFonts w:cs="Calibri"/>
        </w:rPr>
        <w:t>big companies restructuring away from the urban areas and to locations and smaller plants in rural and often policy assisted locations as the rate of profitability in urban areas fell (Massey and Meegan, 19</w:t>
      </w:r>
      <w:r w:rsidR="00CB1B42" w:rsidRPr="00B013FE">
        <w:rPr>
          <w:rFonts w:cs="Calibri"/>
        </w:rPr>
        <w:t>78</w:t>
      </w:r>
      <w:r w:rsidRPr="00B013FE">
        <w:rPr>
          <w:rFonts w:cs="Calibri"/>
        </w:rPr>
        <w:t>, Tyler et al</w:t>
      </w:r>
      <w:r w:rsidR="00B93306" w:rsidRPr="00B013FE">
        <w:rPr>
          <w:rFonts w:cs="Calibri"/>
        </w:rPr>
        <w:t xml:space="preserve">, </w:t>
      </w:r>
      <w:r w:rsidRPr="00B013FE">
        <w:rPr>
          <w:rFonts w:cs="Calibri"/>
        </w:rPr>
        <w:t>1988).</w:t>
      </w:r>
    </w:p>
    <w:p w:rsidR="0090790C" w:rsidRPr="00B013FE" w:rsidRDefault="0090790C" w:rsidP="00B013FE">
      <w:pPr>
        <w:spacing w:line="480" w:lineRule="auto"/>
        <w:jc w:val="both"/>
        <w:rPr>
          <w:rFonts w:cs="Calibri"/>
        </w:rPr>
      </w:pPr>
    </w:p>
    <w:p w:rsidR="0090790C" w:rsidRPr="00B013FE" w:rsidRDefault="0090790C" w:rsidP="00B013FE">
      <w:pPr>
        <w:spacing w:line="480" w:lineRule="auto"/>
        <w:jc w:val="both"/>
        <w:rPr>
          <w:rFonts w:cs="Calibri"/>
        </w:rPr>
      </w:pPr>
      <w:r w:rsidRPr="00B013FE">
        <w:rPr>
          <w:rFonts w:cs="Calibri"/>
        </w:rPr>
        <w:t xml:space="preserve">Other research has examined whether the urban rural shift could be explained by production cost differences as they affected the location of both manufacturing and the service based sector that was beginning to occupy more floor space in the larger cities.  Perhaps one of the most extensive examples of this was the work of Tyler, Moore and Rhodes (1988). They discovered that unit input costs tended to be higher in the large conurbations relative to their surrounding hinterlands and thus for a wide range of manufacturing industries significant gains in profitability could be obtained by locating outside London and to a lesser extent outside the other main conurbations.  Whilst some of the effect of relatively higher input costs were probably offset by higher levels of productivity </w:t>
      </w:r>
      <w:r w:rsidR="00346871" w:rsidRPr="00B013FE">
        <w:rPr>
          <w:rFonts w:cs="Calibri"/>
        </w:rPr>
        <w:t xml:space="preserve">as standard agglomeration theory might suggest, </w:t>
      </w:r>
      <w:r w:rsidRPr="00B013FE">
        <w:rPr>
          <w:rFonts w:cs="Calibri"/>
        </w:rPr>
        <w:t>it seemed unlikely that they could be large enough to do this completely and thus certainly in the case of London higher costs could be a contributory factor in the loss of manufacturing and service activity to more rural areas in the South East</w:t>
      </w:r>
      <w:r w:rsidR="00CB7410" w:rsidRPr="00B013FE">
        <w:rPr>
          <w:rFonts w:cs="Calibri"/>
        </w:rPr>
        <w:t xml:space="preserve"> in much of the post war period.</w:t>
      </w:r>
      <w:r w:rsidRPr="00B013FE">
        <w:rPr>
          <w:rFonts w:cs="Calibri"/>
        </w:rPr>
        <w:t xml:space="preserve"> </w:t>
      </w:r>
    </w:p>
    <w:p w:rsidR="0090790C" w:rsidRPr="00B013FE" w:rsidRDefault="0090790C" w:rsidP="00B013FE">
      <w:pPr>
        <w:spacing w:line="480" w:lineRule="auto"/>
        <w:jc w:val="both"/>
        <w:rPr>
          <w:rFonts w:cs="Calibri"/>
        </w:rPr>
      </w:pPr>
    </w:p>
    <w:p w:rsidR="0090790C" w:rsidRPr="00B013FE" w:rsidRDefault="0090790C" w:rsidP="00B013FE">
      <w:pPr>
        <w:spacing w:line="480" w:lineRule="auto"/>
        <w:jc w:val="both"/>
        <w:rPr>
          <w:rFonts w:cs="Calibri"/>
        </w:rPr>
      </w:pPr>
      <w:r w:rsidRPr="00B013FE">
        <w:rPr>
          <w:rFonts w:cs="Calibri"/>
        </w:rPr>
        <w:t xml:space="preserve">A further source of enquiry was that of Keeble and Tyler (1995) in their enterprising theory of the urban shift.  They </w:t>
      </w:r>
      <w:r w:rsidR="00E14718">
        <w:rPr>
          <w:rFonts w:cs="Calibri"/>
        </w:rPr>
        <w:t>argued that more rural areas were able to attract a relatively high proportion of actual, or potential, entrepreneurs, largely because of their desirable residential environmental characteristics.  These migrant entrepreneurs were considered to bring with them ‘urban-derived know how’ and expertise relevant to setting up new enterprises to serve growing markets.  The companies in accessible rural areas were undertaking a relatively higher proportion of product innovation and targeting new and emerging markets relative to their more urban counterparts.</w:t>
      </w:r>
    </w:p>
    <w:p w:rsidR="0090790C" w:rsidRPr="00B013FE" w:rsidRDefault="0090790C" w:rsidP="00B013FE">
      <w:pPr>
        <w:spacing w:line="480" w:lineRule="auto"/>
        <w:jc w:val="both"/>
        <w:rPr>
          <w:rFonts w:cs="Calibri"/>
        </w:rPr>
      </w:pPr>
    </w:p>
    <w:p w:rsidR="00427391" w:rsidRDefault="00427391" w:rsidP="00016694">
      <w:pPr>
        <w:spacing w:line="276" w:lineRule="auto"/>
        <w:jc w:val="both"/>
        <w:rPr>
          <w:rFonts w:cs="Calibri"/>
          <w:sz w:val="22"/>
          <w:szCs w:val="22"/>
        </w:rPr>
      </w:pPr>
    </w:p>
    <w:p w:rsidR="00E46A7B" w:rsidRPr="00B95487" w:rsidRDefault="00E46A7B" w:rsidP="00E46A7B">
      <w:pPr>
        <w:jc w:val="both"/>
        <w:rPr>
          <w:b/>
        </w:rPr>
      </w:pPr>
      <w:r w:rsidRPr="00B95487">
        <w:rPr>
          <w:b/>
        </w:rPr>
        <w:t xml:space="preserve">The contribution of the components of enterprise </w:t>
      </w:r>
      <w:r w:rsidR="00DD58F2" w:rsidRPr="00B95487">
        <w:rPr>
          <w:b/>
        </w:rPr>
        <w:t>creation</w:t>
      </w:r>
    </w:p>
    <w:p w:rsidR="00DD58F2" w:rsidRDefault="00DD58F2" w:rsidP="00E46A7B">
      <w:pPr>
        <w:jc w:val="both"/>
        <w:rPr>
          <w:b/>
          <w:sz w:val="22"/>
          <w:szCs w:val="22"/>
        </w:rPr>
      </w:pPr>
    </w:p>
    <w:p w:rsidR="002D5E9F" w:rsidRPr="00B95487" w:rsidRDefault="00CB7410" w:rsidP="00B95487">
      <w:pPr>
        <w:spacing w:line="480" w:lineRule="auto"/>
        <w:jc w:val="both"/>
      </w:pPr>
      <w:r w:rsidRPr="00B95487">
        <w:t xml:space="preserve">Our results suggest that there have been significant differences across LEPs in terms of the dynamics of growth in both employment and output. We have also questioned the extent to which these differences can be explained by simple differences in industrial composition or the degree of agglomeration. Analysis needs to </w:t>
      </w:r>
      <w:r w:rsidR="00414888" w:rsidRPr="00B95487">
        <w:t xml:space="preserve">pay </w:t>
      </w:r>
      <w:r w:rsidRPr="00B95487">
        <w:t xml:space="preserve">greater attention to local competitiveness effects and their relationships to firm-level processes. In order to further explore some of the possible causes discussed above, this final section focuses on firm-level change and establishment data. Ideally of course, we should explore these issues with data that span the entire period of analysis (1981-2012). However, such data at a LEP scale do not exist and we have therefore focused on the period of the recent recession. This is, of course, a highly turbulent </w:t>
      </w:r>
      <w:r w:rsidRPr="00B95487">
        <w:lastRenderedPageBreak/>
        <w:t>period when we might expect to see firm level changes on a significant scale, although we should be cautious about generalizing from this period as firm dynamics in recession differ from those in periods of boom. Notwithstanding this caution, in order to understand more about the extent to which changes in firm behaviour have contributed to the spatial variations in the local growth component, we obtained establishment based data for the period 2007-2011 for all of the LEP areas</w:t>
      </w:r>
      <w:r w:rsidR="002D5E9F" w:rsidRPr="00B95487">
        <w:rPr>
          <w:rStyle w:val="FootnoteReference"/>
        </w:rPr>
        <w:footnoteReference w:id="5"/>
      </w:r>
      <w:r w:rsidRPr="00B95487">
        <w:t xml:space="preserve">. </w:t>
      </w:r>
    </w:p>
    <w:p w:rsidR="002D5E9F" w:rsidRPr="00B95487" w:rsidRDefault="002D5E9F" w:rsidP="00B95487">
      <w:pPr>
        <w:spacing w:line="480" w:lineRule="auto"/>
        <w:jc w:val="both"/>
      </w:pPr>
    </w:p>
    <w:p w:rsidR="00CB7410" w:rsidRPr="00B95487" w:rsidRDefault="00CB7410" w:rsidP="00B95487">
      <w:pPr>
        <w:spacing w:line="480" w:lineRule="auto"/>
        <w:jc w:val="both"/>
      </w:pPr>
      <w:r w:rsidRPr="00B95487">
        <w:t>This data enabled a ‘components of change’ analysis to be undertaken across our LEPs. The data allowed us to consider the contribution of firm births, deaths and in and out firm migration to the stock of firms in each of our categories of LEP areas.  We were also able to obtain employment data broken down according to these categories and examine the contribution that the in-situ expansion and contraction of firms made.  It is to be remembered that it was spatial differences in the propensity of firms to expand their employment change that Fothergill and Gudgin (1982) found contributed to the urban rural shift in their study period.</w:t>
      </w:r>
    </w:p>
    <w:p w:rsidR="00CB7410" w:rsidRPr="00B95487" w:rsidRDefault="00CB7410" w:rsidP="00B95487">
      <w:pPr>
        <w:spacing w:line="480" w:lineRule="auto"/>
        <w:jc w:val="both"/>
      </w:pPr>
    </w:p>
    <w:p w:rsidR="00CB7410" w:rsidRPr="00B95487" w:rsidRDefault="00CB7410" w:rsidP="00B95487">
      <w:pPr>
        <w:spacing w:line="480" w:lineRule="auto"/>
        <w:jc w:val="both"/>
      </w:pPr>
      <w:r w:rsidRPr="00B95487">
        <w:t xml:space="preserve">Research undertaken by Mahoney (2013) drawing upon data from the Inter-Departmental Business Register, has assessed birth and deaths of </w:t>
      </w:r>
      <w:r w:rsidRPr="00B95487">
        <w:lastRenderedPageBreak/>
        <w:t>enterprises</w:t>
      </w:r>
      <w:r w:rsidRPr="00B95487">
        <w:rPr>
          <w:rStyle w:val="FootnoteReference"/>
          <w:b/>
        </w:rPr>
        <w:footnoteReference w:id="6"/>
      </w:r>
      <w:r w:rsidRPr="00B95487">
        <w:t xml:space="preserve"> in Local Enterprise Partnerships over the period 2004-2011.  Its objective was also to understand more about the role of new firm formation and destruction on the ability of local areas to grow.  The research found that  </w:t>
      </w:r>
    </w:p>
    <w:p w:rsidR="00CB7410" w:rsidRDefault="00CB7410" w:rsidP="00CB7410">
      <w:pPr>
        <w:spacing w:line="276" w:lineRule="auto"/>
        <w:jc w:val="both"/>
        <w:rPr>
          <w:sz w:val="22"/>
          <w:szCs w:val="22"/>
        </w:rPr>
      </w:pPr>
    </w:p>
    <w:p w:rsidR="00CB7410" w:rsidRPr="005715F6" w:rsidRDefault="00CB7410" w:rsidP="00CB7410">
      <w:pPr>
        <w:ind w:left="567" w:right="839"/>
        <w:jc w:val="both"/>
        <w:rPr>
          <w:sz w:val="20"/>
          <w:szCs w:val="22"/>
        </w:rPr>
      </w:pPr>
      <w:r w:rsidRPr="005715F6">
        <w:rPr>
          <w:sz w:val="20"/>
          <w:szCs w:val="22"/>
        </w:rPr>
        <w:t>LEPs predominantly made up of local authorities which are classified as rural generally had lower death rates than LEPs with local authorities which were predominantly classified as urban. However, these LEPs containing predominantly rural local authorities also generally had lower enterprise birth rates than LEPs with local authorities mostly classified as urban’ (Mahoney</w:t>
      </w:r>
      <w:r w:rsidR="00414888">
        <w:rPr>
          <w:sz w:val="20"/>
          <w:szCs w:val="22"/>
        </w:rPr>
        <w:t>,</w:t>
      </w:r>
      <w:r w:rsidR="00414888" w:rsidRPr="005715F6">
        <w:rPr>
          <w:sz w:val="20"/>
          <w:szCs w:val="22"/>
        </w:rPr>
        <w:t xml:space="preserve"> 2013</w:t>
      </w:r>
      <w:r>
        <w:rPr>
          <w:sz w:val="20"/>
          <w:szCs w:val="22"/>
        </w:rPr>
        <w:t>, page</w:t>
      </w:r>
      <w:r w:rsidRPr="005715F6">
        <w:rPr>
          <w:sz w:val="20"/>
          <w:szCs w:val="22"/>
        </w:rPr>
        <w:t xml:space="preserve">). </w:t>
      </w:r>
    </w:p>
    <w:p w:rsidR="00CB7410" w:rsidRDefault="00CB7410" w:rsidP="00CB7410">
      <w:pPr>
        <w:spacing w:line="276" w:lineRule="auto"/>
        <w:jc w:val="both"/>
        <w:rPr>
          <w:sz w:val="22"/>
          <w:szCs w:val="22"/>
        </w:rPr>
      </w:pPr>
    </w:p>
    <w:p w:rsidR="00CB7410" w:rsidRPr="00B95487" w:rsidRDefault="00CB7410" w:rsidP="00B95487">
      <w:pPr>
        <w:spacing w:line="480" w:lineRule="auto"/>
        <w:jc w:val="both"/>
      </w:pPr>
      <w:r w:rsidRPr="00B95487">
        <w:t>Our analysis extended this study by estimating all the components of enterprise change at the local level. Table (1) presents the results.</w:t>
      </w:r>
    </w:p>
    <w:p w:rsidR="00CB7410" w:rsidRDefault="00CB7410" w:rsidP="00CB7410">
      <w:pPr>
        <w:jc w:val="both"/>
        <w:rPr>
          <w:sz w:val="22"/>
          <w:szCs w:val="22"/>
        </w:rPr>
      </w:pPr>
    </w:p>
    <w:p w:rsidR="00AA261E" w:rsidRPr="00621D6D" w:rsidRDefault="00AA261E" w:rsidP="009A5371">
      <w:pPr>
        <w:jc w:val="both"/>
        <w:rPr>
          <w:b/>
          <w:sz w:val="22"/>
          <w:szCs w:val="22"/>
        </w:rPr>
      </w:pPr>
      <w:r w:rsidRPr="00621D6D">
        <w:rPr>
          <w:b/>
          <w:sz w:val="22"/>
          <w:szCs w:val="22"/>
        </w:rPr>
        <w:t xml:space="preserve">Table 1 LEP </w:t>
      </w:r>
      <w:r w:rsidR="00F069F9" w:rsidRPr="00621D6D">
        <w:rPr>
          <w:b/>
          <w:sz w:val="22"/>
          <w:szCs w:val="22"/>
        </w:rPr>
        <w:t>firms 2007-2011</w:t>
      </w:r>
      <w:r w:rsidRPr="00621D6D">
        <w:rPr>
          <w:b/>
          <w:sz w:val="22"/>
          <w:szCs w:val="22"/>
        </w:rPr>
        <w:t xml:space="preserve"> by urban and rural categories</w:t>
      </w:r>
      <w:r w:rsidR="00F069F9" w:rsidRPr="00621D6D">
        <w:rPr>
          <w:b/>
          <w:sz w:val="22"/>
          <w:szCs w:val="22"/>
        </w:rPr>
        <w:t xml:space="preserve"> as % of firm stock at beginning of 2007 (%)</w:t>
      </w:r>
    </w:p>
    <w:tbl>
      <w:tblPr>
        <w:tblStyle w:val="TableGrid"/>
        <w:tblW w:w="0" w:type="auto"/>
        <w:tblInd w:w="108" w:type="dxa"/>
        <w:tblLook w:val="04A0" w:firstRow="1" w:lastRow="0" w:firstColumn="1" w:lastColumn="0" w:noHBand="0" w:noVBand="1"/>
      </w:tblPr>
      <w:tblGrid>
        <w:gridCol w:w="1560"/>
        <w:gridCol w:w="1079"/>
        <w:gridCol w:w="1080"/>
        <w:gridCol w:w="1080"/>
        <w:gridCol w:w="1079"/>
        <w:gridCol w:w="1080"/>
        <w:gridCol w:w="1080"/>
      </w:tblGrid>
      <w:tr w:rsidR="00F069F9" w:rsidRPr="00621D6D">
        <w:tc>
          <w:tcPr>
            <w:tcW w:w="1560" w:type="dxa"/>
          </w:tcPr>
          <w:p w:rsidR="00C84082" w:rsidRPr="00621D6D" w:rsidRDefault="00C84082" w:rsidP="009A5371">
            <w:pPr>
              <w:jc w:val="both"/>
              <w:rPr>
                <w:b/>
                <w:sz w:val="16"/>
                <w:szCs w:val="16"/>
              </w:rPr>
            </w:pPr>
          </w:p>
        </w:tc>
        <w:tc>
          <w:tcPr>
            <w:tcW w:w="1079" w:type="dxa"/>
          </w:tcPr>
          <w:p w:rsidR="00C84082" w:rsidRPr="00621D6D" w:rsidRDefault="00F069F9" w:rsidP="009A5371">
            <w:pPr>
              <w:jc w:val="both"/>
              <w:rPr>
                <w:b/>
                <w:sz w:val="16"/>
                <w:szCs w:val="16"/>
              </w:rPr>
            </w:pPr>
            <w:r w:rsidRPr="00621D6D">
              <w:rPr>
                <w:b/>
                <w:sz w:val="16"/>
                <w:szCs w:val="16"/>
              </w:rPr>
              <w:t>Deaths</w:t>
            </w:r>
          </w:p>
        </w:tc>
        <w:tc>
          <w:tcPr>
            <w:tcW w:w="1080" w:type="dxa"/>
          </w:tcPr>
          <w:p w:rsidR="00C84082" w:rsidRPr="00621D6D" w:rsidRDefault="00F069F9" w:rsidP="009A5371">
            <w:pPr>
              <w:jc w:val="both"/>
              <w:rPr>
                <w:b/>
                <w:sz w:val="16"/>
                <w:szCs w:val="16"/>
              </w:rPr>
            </w:pPr>
            <w:r w:rsidRPr="00621D6D">
              <w:rPr>
                <w:b/>
                <w:sz w:val="16"/>
                <w:szCs w:val="16"/>
              </w:rPr>
              <w:t>Births</w:t>
            </w:r>
          </w:p>
        </w:tc>
        <w:tc>
          <w:tcPr>
            <w:tcW w:w="1080" w:type="dxa"/>
          </w:tcPr>
          <w:p w:rsidR="00C84082" w:rsidRPr="00621D6D" w:rsidRDefault="00F069F9" w:rsidP="009A5371">
            <w:pPr>
              <w:jc w:val="both"/>
              <w:rPr>
                <w:b/>
                <w:sz w:val="16"/>
                <w:szCs w:val="16"/>
              </w:rPr>
            </w:pPr>
            <w:r w:rsidRPr="00621D6D">
              <w:rPr>
                <w:b/>
                <w:sz w:val="16"/>
                <w:szCs w:val="16"/>
              </w:rPr>
              <w:t>Outward migration</w:t>
            </w:r>
          </w:p>
        </w:tc>
        <w:tc>
          <w:tcPr>
            <w:tcW w:w="1079" w:type="dxa"/>
          </w:tcPr>
          <w:p w:rsidR="00C84082" w:rsidRPr="00621D6D" w:rsidRDefault="00F069F9" w:rsidP="009A5371">
            <w:pPr>
              <w:jc w:val="both"/>
              <w:rPr>
                <w:b/>
                <w:sz w:val="16"/>
                <w:szCs w:val="16"/>
              </w:rPr>
            </w:pPr>
            <w:r w:rsidRPr="00621D6D">
              <w:rPr>
                <w:b/>
                <w:sz w:val="16"/>
                <w:szCs w:val="16"/>
              </w:rPr>
              <w:t>Inward migration</w:t>
            </w:r>
          </w:p>
        </w:tc>
        <w:tc>
          <w:tcPr>
            <w:tcW w:w="1080" w:type="dxa"/>
          </w:tcPr>
          <w:p w:rsidR="00C84082" w:rsidRPr="00621D6D" w:rsidRDefault="00F069F9" w:rsidP="009A5371">
            <w:pPr>
              <w:jc w:val="both"/>
              <w:rPr>
                <w:b/>
                <w:sz w:val="16"/>
                <w:szCs w:val="16"/>
              </w:rPr>
            </w:pPr>
            <w:r w:rsidRPr="00621D6D">
              <w:rPr>
                <w:b/>
                <w:sz w:val="16"/>
                <w:szCs w:val="16"/>
              </w:rPr>
              <w:t>Net migration</w:t>
            </w:r>
          </w:p>
        </w:tc>
        <w:tc>
          <w:tcPr>
            <w:tcW w:w="1080" w:type="dxa"/>
          </w:tcPr>
          <w:p w:rsidR="00C84082" w:rsidRPr="00621D6D" w:rsidRDefault="00F069F9" w:rsidP="009A5371">
            <w:pPr>
              <w:jc w:val="both"/>
              <w:rPr>
                <w:b/>
                <w:sz w:val="16"/>
                <w:szCs w:val="16"/>
              </w:rPr>
            </w:pPr>
            <w:r w:rsidRPr="00621D6D">
              <w:rPr>
                <w:b/>
                <w:sz w:val="16"/>
                <w:szCs w:val="16"/>
              </w:rPr>
              <w:t>Stock end of 2011</w:t>
            </w:r>
          </w:p>
        </w:tc>
      </w:tr>
      <w:tr w:rsidR="00B00B13" w:rsidRPr="00621D6D">
        <w:tc>
          <w:tcPr>
            <w:tcW w:w="1560" w:type="dxa"/>
          </w:tcPr>
          <w:p w:rsidR="00B00B13" w:rsidRPr="00621D6D" w:rsidRDefault="00B00B13" w:rsidP="009A5371">
            <w:pPr>
              <w:jc w:val="both"/>
              <w:rPr>
                <w:sz w:val="16"/>
                <w:szCs w:val="16"/>
              </w:rPr>
            </w:pPr>
            <w:r>
              <w:rPr>
                <w:sz w:val="16"/>
                <w:szCs w:val="16"/>
              </w:rPr>
              <w:t>London</w:t>
            </w:r>
          </w:p>
        </w:tc>
        <w:tc>
          <w:tcPr>
            <w:tcW w:w="1079" w:type="dxa"/>
            <w:vAlign w:val="bottom"/>
          </w:tcPr>
          <w:p w:rsidR="00B00B13" w:rsidRPr="00621D6D" w:rsidRDefault="00B00B13" w:rsidP="00621D6D">
            <w:pPr>
              <w:rPr>
                <w:rFonts w:ascii="Tahoma" w:hAnsi="Tahoma" w:cs="Tahoma"/>
                <w:color w:val="000000"/>
                <w:sz w:val="16"/>
                <w:szCs w:val="16"/>
              </w:rPr>
            </w:pPr>
            <w:r>
              <w:rPr>
                <w:rFonts w:ascii="Tahoma" w:hAnsi="Tahoma" w:cs="Tahoma"/>
                <w:color w:val="000000"/>
                <w:sz w:val="16"/>
                <w:szCs w:val="16"/>
              </w:rPr>
              <w:t>40.7</w:t>
            </w:r>
          </w:p>
        </w:tc>
        <w:tc>
          <w:tcPr>
            <w:tcW w:w="1080" w:type="dxa"/>
            <w:vAlign w:val="bottom"/>
          </w:tcPr>
          <w:p w:rsidR="00B00B13" w:rsidRPr="00621D6D" w:rsidRDefault="00B00B13" w:rsidP="00621D6D">
            <w:pPr>
              <w:rPr>
                <w:rFonts w:ascii="Tahoma" w:hAnsi="Tahoma" w:cs="Tahoma"/>
                <w:color w:val="000000"/>
                <w:sz w:val="16"/>
                <w:szCs w:val="16"/>
              </w:rPr>
            </w:pPr>
            <w:r>
              <w:rPr>
                <w:rFonts w:ascii="Tahoma" w:hAnsi="Tahoma" w:cs="Tahoma"/>
                <w:color w:val="000000"/>
                <w:sz w:val="16"/>
                <w:szCs w:val="16"/>
              </w:rPr>
              <w:t>39.4</w:t>
            </w:r>
          </w:p>
        </w:tc>
        <w:tc>
          <w:tcPr>
            <w:tcW w:w="1080" w:type="dxa"/>
            <w:vAlign w:val="bottom"/>
          </w:tcPr>
          <w:p w:rsidR="00B00B13" w:rsidRPr="00621D6D" w:rsidRDefault="00B00B13" w:rsidP="00621D6D">
            <w:pPr>
              <w:rPr>
                <w:rFonts w:ascii="Tahoma" w:hAnsi="Tahoma" w:cs="Tahoma"/>
                <w:color w:val="000000"/>
                <w:sz w:val="16"/>
                <w:szCs w:val="16"/>
              </w:rPr>
            </w:pPr>
            <w:r>
              <w:rPr>
                <w:rFonts w:ascii="Tahoma" w:hAnsi="Tahoma" w:cs="Tahoma"/>
                <w:color w:val="000000"/>
                <w:sz w:val="16"/>
                <w:szCs w:val="16"/>
              </w:rPr>
              <w:t>4.9</w:t>
            </w:r>
          </w:p>
        </w:tc>
        <w:tc>
          <w:tcPr>
            <w:tcW w:w="1079" w:type="dxa"/>
            <w:vAlign w:val="bottom"/>
          </w:tcPr>
          <w:p w:rsidR="00B00B13" w:rsidRPr="00621D6D" w:rsidRDefault="00B00B13" w:rsidP="00621D6D">
            <w:pPr>
              <w:rPr>
                <w:rFonts w:ascii="Tahoma" w:hAnsi="Tahoma" w:cs="Tahoma"/>
                <w:color w:val="000000"/>
                <w:sz w:val="16"/>
                <w:szCs w:val="16"/>
              </w:rPr>
            </w:pPr>
            <w:r>
              <w:rPr>
                <w:rFonts w:ascii="Tahoma" w:hAnsi="Tahoma" w:cs="Tahoma"/>
                <w:color w:val="000000"/>
                <w:sz w:val="16"/>
                <w:szCs w:val="16"/>
              </w:rPr>
              <w:t>3.2</w:t>
            </w:r>
          </w:p>
        </w:tc>
        <w:tc>
          <w:tcPr>
            <w:tcW w:w="1080" w:type="dxa"/>
            <w:vAlign w:val="bottom"/>
          </w:tcPr>
          <w:p w:rsidR="00B00B13" w:rsidRPr="00621D6D" w:rsidRDefault="00B00B13" w:rsidP="00621D6D">
            <w:pPr>
              <w:rPr>
                <w:rFonts w:ascii="Tahoma" w:hAnsi="Tahoma" w:cs="Tahoma"/>
                <w:color w:val="000000"/>
                <w:sz w:val="16"/>
                <w:szCs w:val="16"/>
              </w:rPr>
            </w:pPr>
            <w:r>
              <w:rPr>
                <w:rFonts w:ascii="Tahoma" w:hAnsi="Tahoma" w:cs="Tahoma"/>
                <w:color w:val="000000"/>
                <w:sz w:val="16"/>
                <w:szCs w:val="16"/>
              </w:rPr>
              <w:t>-1.9</w:t>
            </w:r>
          </w:p>
        </w:tc>
        <w:tc>
          <w:tcPr>
            <w:tcW w:w="1080" w:type="dxa"/>
            <w:vAlign w:val="bottom"/>
          </w:tcPr>
          <w:p w:rsidR="00B00B13" w:rsidRPr="00621D6D" w:rsidRDefault="00B00B13" w:rsidP="00621D6D">
            <w:pPr>
              <w:rPr>
                <w:rFonts w:ascii="Tahoma" w:hAnsi="Tahoma" w:cs="Tahoma"/>
                <w:color w:val="000000"/>
                <w:sz w:val="16"/>
                <w:szCs w:val="16"/>
              </w:rPr>
            </w:pPr>
            <w:r>
              <w:rPr>
                <w:rFonts w:ascii="Tahoma" w:hAnsi="Tahoma" w:cs="Tahoma"/>
                <w:color w:val="000000"/>
                <w:sz w:val="16"/>
                <w:szCs w:val="16"/>
              </w:rPr>
              <w:t>97.0</w:t>
            </w:r>
          </w:p>
        </w:tc>
      </w:tr>
      <w:tr w:rsidR="00F069F9" w:rsidRPr="00621D6D">
        <w:tc>
          <w:tcPr>
            <w:tcW w:w="1560" w:type="dxa"/>
          </w:tcPr>
          <w:p w:rsidR="00F069F9" w:rsidRPr="00621D6D" w:rsidRDefault="00E440D7" w:rsidP="00E440D7">
            <w:pPr>
              <w:jc w:val="both"/>
              <w:rPr>
                <w:sz w:val="16"/>
                <w:szCs w:val="16"/>
              </w:rPr>
            </w:pPr>
            <w:r>
              <w:rPr>
                <w:sz w:val="16"/>
                <w:szCs w:val="16"/>
              </w:rPr>
              <w:t>Metropolitan.(Ex London)</w:t>
            </w:r>
          </w:p>
        </w:tc>
        <w:tc>
          <w:tcPr>
            <w:tcW w:w="1079" w:type="dxa"/>
            <w:vAlign w:val="bottom"/>
          </w:tcPr>
          <w:p w:rsidR="00F069F9" w:rsidRPr="00621D6D" w:rsidRDefault="00B00B13" w:rsidP="00621D6D">
            <w:pPr>
              <w:rPr>
                <w:rFonts w:ascii="Tahoma" w:hAnsi="Tahoma" w:cs="Tahoma"/>
                <w:color w:val="000000"/>
                <w:sz w:val="16"/>
                <w:szCs w:val="16"/>
              </w:rPr>
            </w:pPr>
            <w:r>
              <w:rPr>
                <w:rFonts w:ascii="Tahoma" w:hAnsi="Tahoma" w:cs="Tahoma"/>
                <w:color w:val="000000"/>
                <w:sz w:val="16"/>
                <w:szCs w:val="16"/>
              </w:rPr>
              <w:t>36.4</w:t>
            </w:r>
          </w:p>
        </w:tc>
        <w:tc>
          <w:tcPr>
            <w:tcW w:w="1080" w:type="dxa"/>
            <w:vAlign w:val="bottom"/>
          </w:tcPr>
          <w:p w:rsidR="00F069F9" w:rsidRPr="00621D6D" w:rsidRDefault="00B00B13" w:rsidP="00621D6D">
            <w:pPr>
              <w:rPr>
                <w:rFonts w:ascii="Tahoma" w:hAnsi="Tahoma" w:cs="Tahoma"/>
                <w:color w:val="000000"/>
                <w:sz w:val="16"/>
                <w:szCs w:val="16"/>
              </w:rPr>
            </w:pPr>
            <w:r>
              <w:rPr>
                <w:rFonts w:ascii="Tahoma" w:hAnsi="Tahoma" w:cs="Tahoma"/>
                <w:color w:val="000000"/>
                <w:sz w:val="16"/>
                <w:szCs w:val="16"/>
              </w:rPr>
              <w:t>34.1</w:t>
            </w:r>
          </w:p>
        </w:tc>
        <w:tc>
          <w:tcPr>
            <w:tcW w:w="1080" w:type="dxa"/>
            <w:vAlign w:val="bottom"/>
          </w:tcPr>
          <w:p w:rsidR="00F069F9" w:rsidRPr="00621D6D" w:rsidRDefault="00B00B13" w:rsidP="00621D6D">
            <w:pPr>
              <w:rPr>
                <w:rFonts w:ascii="Tahoma" w:hAnsi="Tahoma" w:cs="Tahoma"/>
                <w:color w:val="000000"/>
                <w:sz w:val="16"/>
                <w:szCs w:val="16"/>
              </w:rPr>
            </w:pPr>
            <w:r>
              <w:rPr>
                <w:rFonts w:ascii="Tahoma" w:hAnsi="Tahoma" w:cs="Tahoma"/>
                <w:color w:val="000000"/>
                <w:sz w:val="16"/>
                <w:szCs w:val="16"/>
              </w:rPr>
              <w:t>3.9</w:t>
            </w:r>
          </w:p>
        </w:tc>
        <w:tc>
          <w:tcPr>
            <w:tcW w:w="1079" w:type="dxa"/>
            <w:vAlign w:val="bottom"/>
          </w:tcPr>
          <w:p w:rsidR="00F069F9" w:rsidRPr="00621D6D" w:rsidRDefault="00B00B13" w:rsidP="00621D6D">
            <w:pPr>
              <w:rPr>
                <w:rFonts w:ascii="Tahoma" w:hAnsi="Tahoma" w:cs="Tahoma"/>
                <w:color w:val="000000"/>
                <w:sz w:val="16"/>
                <w:szCs w:val="16"/>
              </w:rPr>
            </w:pPr>
            <w:r>
              <w:rPr>
                <w:rFonts w:ascii="Tahoma" w:hAnsi="Tahoma" w:cs="Tahoma"/>
                <w:color w:val="000000"/>
                <w:sz w:val="16"/>
                <w:szCs w:val="16"/>
              </w:rPr>
              <w:t>3.8</w:t>
            </w:r>
          </w:p>
        </w:tc>
        <w:tc>
          <w:tcPr>
            <w:tcW w:w="1080" w:type="dxa"/>
            <w:vAlign w:val="bottom"/>
          </w:tcPr>
          <w:p w:rsidR="00F069F9" w:rsidRPr="00621D6D" w:rsidRDefault="00B00B13" w:rsidP="00621D6D">
            <w:pPr>
              <w:rPr>
                <w:rFonts w:ascii="Tahoma" w:hAnsi="Tahoma" w:cs="Tahoma"/>
                <w:color w:val="000000"/>
                <w:sz w:val="16"/>
                <w:szCs w:val="16"/>
              </w:rPr>
            </w:pPr>
            <w:r>
              <w:rPr>
                <w:rFonts w:ascii="Tahoma" w:hAnsi="Tahoma" w:cs="Tahoma"/>
                <w:color w:val="000000"/>
                <w:sz w:val="16"/>
                <w:szCs w:val="16"/>
              </w:rPr>
              <w:t>-0.1</w:t>
            </w:r>
          </w:p>
        </w:tc>
        <w:tc>
          <w:tcPr>
            <w:tcW w:w="1080" w:type="dxa"/>
            <w:vAlign w:val="bottom"/>
          </w:tcPr>
          <w:p w:rsidR="00F069F9" w:rsidRPr="00621D6D" w:rsidRDefault="00B00B13" w:rsidP="00621D6D">
            <w:pPr>
              <w:rPr>
                <w:rFonts w:ascii="Tahoma" w:hAnsi="Tahoma" w:cs="Tahoma"/>
                <w:color w:val="000000"/>
                <w:sz w:val="16"/>
                <w:szCs w:val="16"/>
              </w:rPr>
            </w:pPr>
            <w:r>
              <w:rPr>
                <w:rFonts w:ascii="Tahoma" w:hAnsi="Tahoma" w:cs="Tahoma"/>
                <w:color w:val="000000"/>
                <w:sz w:val="16"/>
                <w:szCs w:val="16"/>
              </w:rPr>
              <w:t>97.6</w:t>
            </w:r>
          </w:p>
        </w:tc>
      </w:tr>
      <w:tr w:rsidR="00F069F9" w:rsidRPr="00621D6D">
        <w:tc>
          <w:tcPr>
            <w:tcW w:w="1560" w:type="dxa"/>
          </w:tcPr>
          <w:p w:rsidR="00F069F9" w:rsidRPr="00621D6D" w:rsidRDefault="004E19EA" w:rsidP="00CB4380">
            <w:pPr>
              <w:jc w:val="both"/>
              <w:rPr>
                <w:sz w:val="16"/>
                <w:szCs w:val="16"/>
              </w:rPr>
            </w:pPr>
            <w:r>
              <w:rPr>
                <w:sz w:val="16"/>
                <w:szCs w:val="16"/>
              </w:rPr>
              <w:t>U</w:t>
            </w:r>
            <w:r w:rsidRPr="00621D6D">
              <w:rPr>
                <w:sz w:val="16"/>
                <w:szCs w:val="16"/>
              </w:rPr>
              <w:t>rban</w:t>
            </w:r>
          </w:p>
        </w:tc>
        <w:tc>
          <w:tcPr>
            <w:tcW w:w="1079"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35.2</w:t>
            </w:r>
          </w:p>
        </w:tc>
        <w:tc>
          <w:tcPr>
            <w:tcW w:w="1080"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33.1</w:t>
            </w:r>
          </w:p>
        </w:tc>
        <w:tc>
          <w:tcPr>
            <w:tcW w:w="1080"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4.2</w:t>
            </w:r>
          </w:p>
        </w:tc>
        <w:tc>
          <w:tcPr>
            <w:tcW w:w="1079"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4.7</w:t>
            </w:r>
          </w:p>
        </w:tc>
        <w:tc>
          <w:tcPr>
            <w:tcW w:w="1080"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0.5</w:t>
            </w:r>
          </w:p>
        </w:tc>
        <w:tc>
          <w:tcPr>
            <w:tcW w:w="1080"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98.4</w:t>
            </w:r>
          </w:p>
        </w:tc>
      </w:tr>
      <w:tr w:rsidR="00F069F9" w:rsidRPr="00621D6D">
        <w:tc>
          <w:tcPr>
            <w:tcW w:w="1560" w:type="dxa"/>
          </w:tcPr>
          <w:p w:rsidR="00F069F9" w:rsidRPr="00621D6D" w:rsidRDefault="00F069F9" w:rsidP="00E440D7">
            <w:pPr>
              <w:jc w:val="both"/>
              <w:rPr>
                <w:sz w:val="16"/>
                <w:szCs w:val="16"/>
              </w:rPr>
            </w:pPr>
            <w:r w:rsidRPr="00621D6D">
              <w:rPr>
                <w:sz w:val="16"/>
                <w:szCs w:val="16"/>
              </w:rPr>
              <w:t>S</w:t>
            </w:r>
            <w:r w:rsidR="00E440D7">
              <w:rPr>
                <w:sz w:val="16"/>
                <w:szCs w:val="16"/>
              </w:rPr>
              <w:t>emi-Urban</w:t>
            </w:r>
          </w:p>
        </w:tc>
        <w:tc>
          <w:tcPr>
            <w:tcW w:w="1079"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33.7</w:t>
            </w:r>
          </w:p>
        </w:tc>
        <w:tc>
          <w:tcPr>
            <w:tcW w:w="1080"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31.5</w:t>
            </w:r>
          </w:p>
        </w:tc>
        <w:tc>
          <w:tcPr>
            <w:tcW w:w="1080"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3.1</w:t>
            </w:r>
          </w:p>
        </w:tc>
        <w:tc>
          <w:tcPr>
            <w:tcW w:w="1079"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3.5</w:t>
            </w:r>
          </w:p>
        </w:tc>
        <w:tc>
          <w:tcPr>
            <w:tcW w:w="1080"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0.4</w:t>
            </w:r>
          </w:p>
        </w:tc>
        <w:tc>
          <w:tcPr>
            <w:tcW w:w="1080"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98.2</w:t>
            </w:r>
          </w:p>
        </w:tc>
      </w:tr>
      <w:tr w:rsidR="00F069F9" w:rsidRPr="00621D6D">
        <w:tc>
          <w:tcPr>
            <w:tcW w:w="1560" w:type="dxa"/>
          </w:tcPr>
          <w:p w:rsidR="00F069F9" w:rsidRPr="00621D6D" w:rsidRDefault="00F069F9" w:rsidP="009A5371">
            <w:pPr>
              <w:jc w:val="both"/>
              <w:rPr>
                <w:sz w:val="16"/>
                <w:szCs w:val="16"/>
              </w:rPr>
            </w:pPr>
            <w:r w:rsidRPr="00621D6D">
              <w:rPr>
                <w:sz w:val="16"/>
                <w:szCs w:val="16"/>
              </w:rPr>
              <w:t>Rural</w:t>
            </w:r>
          </w:p>
        </w:tc>
        <w:tc>
          <w:tcPr>
            <w:tcW w:w="1079"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32.5</w:t>
            </w:r>
          </w:p>
        </w:tc>
        <w:tc>
          <w:tcPr>
            <w:tcW w:w="1080"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31.2</w:t>
            </w:r>
          </w:p>
        </w:tc>
        <w:tc>
          <w:tcPr>
            <w:tcW w:w="1080"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3.8</w:t>
            </w:r>
          </w:p>
        </w:tc>
        <w:tc>
          <w:tcPr>
            <w:tcW w:w="1079"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4.4</w:t>
            </w:r>
          </w:p>
        </w:tc>
        <w:tc>
          <w:tcPr>
            <w:tcW w:w="1080"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0.6</w:t>
            </w:r>
          </w:p>
        </w:tc>
        <w:tc>
          <w:tcPr>
            <w:tcW w:w="1080"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99</w:t>
            </w:r>
            <w:r w:rsidR="004E19EA">
              <w:rPr>
                <w:rFonts w:ascii="Tahoma" w:hAnsi="Tahoma" w:cs="Tahoma"/>
                <w:color w:val="000000"/>
                <w:sz w:val="16"/>
                <w:szCs w:val="16"/>
              </w:rPr>
              <w:t>.0</w:t>
            </w:r>
          </w:p>
        </w:tc>
      </w:tr>
      <w:tr w:rsidR="00F069F9" w:rsidRPr="00621D6D">
        <w:tc>
          <w:tcPr>
            <w:tcW w:w="1560" w:type="dxa"/>
          </w:tcPr>
          <w:p w:rsidR="00F069F9" w:rsidRPr="00621D6D" w:rsidRDefault="00F069F9" w:rsidP="009A5371">
            <w:pPr>
              <w:jc w:val="both"/>
              <w:rPr>
                <w:sz w:val="16"/>
                <w:szCs w:val="16"/>
              </w:rPr>
            </w:pPr>
            <w:r w:rsidRPr="00621D6D">
              <w:rPr>
                <w:sz w:val="16"/>
                <w:szCs w:val="16"/>
              </w:rPr>
              <w:t>Very rural</w:t>
            </w:r>
          </w:p>
        </w:tc>
        <w:tc>
          <w:tcPr>
            <w:tcW w:w="1079"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29.2</w:t>
            </w:r>
          </w:p>
        </w:tc>
        <w:tc>
          <w:tcPr>
            <w:tcW w:w="1080"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28.4</w:t>
            </w:r>
          </w:p>
        </w:tc>
        <w:tc>
          <w:tcPr>
            <w:tcW w:w="1080"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2.3</w:t>
            </w:r>
          </w:p>
        </w:tc>
        <w:tc>
          <w:tcPr>
            <w:tcW w:w="1079"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3.0</w:t>
            </w:r>
          </w:p>
        </w:tc>
        <w:tc>
          <w:tcPr>
            <w:tcW w:w="1080"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0.6</w:t>
            </w:r>
          </w:p>
        </w:tc>
        <w:tc>
          <w:tcPr>
            <w:tcW w:w="1080" w:type="dxa"/>
            <w:vAlign w:val="bottom"/>
          </w:tcPr>
          <w:p w:rsidR="00F069F9" w:rsidRPr="00621D6D" w:rsidRDefault="00F069F9" w:rsidP="00621D6D">
            <w:pPr>
              <w:rPr>
                <w:rFonts w:ascii="Tahoma" w:hAnsi="Tahoma" w:cs="Tahoma"/>
                <w:color w:val="000000"/>
                <w:sz w:val="16"/>
                <w:szCs w:val="16"/>
              </w:rPr>
            </w:pPr>
            <w:r w:rsidRPr="00621D6D">
              <w:rPr>
                <w:rFonts w:ascii="Tahoma" w:hAnsi="Tahoma" w:cs="Tahoma"/>
                <w:color w:val="000000"/>
                <w:sz w:val="16"/>
                <w:szCs w:val="16"/>
              </w:rPr>
              <w:t>99.8</w:t>
            </w:r>
          </w:p>
        </w:tc>
      </w:tr>
      <w:tr w:rsidR="00C57F29" w:rsidRPr="00621D6D">
        <w:tc>
          <w:tcPr>
            <w:tcW w:w="1560" w:type="dxa"/>
          </w:tcPr>
          <w:p w:rsidR="00C57F29" w:rsidRPr="00621D6D" w:rsidRDefault="00C57F29" w:rsidP="009A5371">
            <w:pPr>
              <w:jc w:val="both"/>
              <w:rPr>
                <w:sz w:val="16"/>
                <w:szCs w:val="16"/>
              </w:rPr>
            </w:pPr>
            <w:r w:rsidRPr="00621D6D">
              <w:rPr>
                <w:sz w:val="16"/>
                <w:szCs w:val="16"/>
              </w:rPr>
              <w:t>England</w:t>
            </w:r>
          </w:p>
        </w:tc>
        <w:tc>
          <w:tcPr>
            <w:tcW w:w="1079" w:type="dxa"/>
            <w:vAlign w:val="bottom"/>
          </w:tcPr>
          <w:p w:rsidR="00C57F29" w:rsidRPr="00621D6D" w:rsidRDefault="00C57F29" w:rsidP="00621D6D">
            <w:pPr>
              <w:rPr>
                <w:rFonts w:ascii="Tahoma" w:hAnsi="Tahoma" w:cs="Tahoma"/>
                <w:color w:val="000000"/>
                <w:sz w:val="16"/>
                <w:szCs w:val="16"/>
              </w:rPr>
            </w:pPr>
            <w:r w:rsidRPr="00621D6D">
              <w:rPr>
                <w:rFonts w:ascii="Tahoma" w:hAnsi="Tahoma" w:cs="Tahoma"/>
                <w:color w:val="000000"/>
                <w:sz w:val="16"/>
                <w:szCs w:val="16"/>
              </w:rPr>
              <w:t>35.8</w:t>
            </w:r>
          </w:p>
        </w:tc>
        <w:tc>
          <w:tcPr>
            <w:tcW w:w="1080" w:type="dxa"/>
            <w:vAlign w:val="bottom"/>
          </w:tcPr>
          <w:p w:rsidR="00C57F29" w:rsidRPr="00621D6D" w:rsidRDefault="00C57F29" w:rsidP="00621D6D">
            <w:pPr>
              <w:rPr>
                <w:rFonts w:ascii="Tahoma" w:hAnsi="Tahoma" w:cs="Tahoma"/>
                <w:color w:val="000000"/>
                <w:sz w:val="16"/>
                <w:szCs w:val="16"/>
              </w:rPr>
            </w:pPr>
            <w:r w:rsidRPr="00621D6D">
              <w:rPr>
                <w:rFonts w:ascii="Tahoma" w:hAnsi="Tahoma" w:cs="Tahoma"/>
                <w:color w:val="000000"/>
                <w:sz w:val="16"/>
                <w:szCs w:val="16"/>
              </w:rPr>
              <w:t>33.9</w:t>
            </w:r>
          </w:p>
        </w:tc>
        <w:tc>
          <w:tcPr>
            <w:tcW w:w="1080" w:type="dxa"/>
            <w:vAlign w:val="bottom"/>
          </w:tcPr>
          <w:p w:rsidR="00C57F29" w:rsidRPr="00621D6D" w:rsidRDefault="00C57F29" w:rsidP="00621D6D">
            <w:pPr>
              <w:rPr>
                <w:rFonts w:ascii="Tahoma" w:hAnsi="Tahoma" w:cs="Tahoma"/>
                <w:color w:val="000000"/>
                <w:sz w:val="16"/>
                <w:szCs w:val="16"/>
              </w:rPr>
            </w:pPr>
            <w:r w:rsidRPr="00621D6D">
              <w:rPr>
                <w:rFonts w:ascii="Tahoma" w:hAnsi="Tahoma" w:cs="Tahoma"/>
                <w:color w:val="000000"/>
                <w:sz w:val="16"/>
                <w:szCs w:val="16"/>
              </w:rPr>
              <w:t>0.2</w:t>
            </w:r>
          </w:p>
        </w:tc>
        <w:tc>
          <w:tcPr>
            <w:tcW w:w="1079" w:type="dxa"/>
            <w:vAlign w:val="bottom"/>
          </w:tcPr>
          <w:p w:rsidR="00C57F29" w:rsidRPr="00621D6D" w:rsidRDefault="00C57F29" w:rsidP="00621D6D">
            <w:pPr>
              <w:rPr>
                <w:rFonts w:ascii="Tahoma" w:hAnsi="Tahoma" w:cs="Tahoma"/>
                <w:color w:val="000000"/>
                <w:sz w:val="16"/>
                <w:szCs w:val="16"/>
              </w:rPr>
            </w:pPr>
            <w:r w:rsidRPr="00621D6D">
              <w:rPr>
                <w:rFonts w:ascii="Tahoma" w:hAnsi="Tahoma" w:cs="Tahoma"/>
                <w:color w:val="000000"/>
                <w:sz w:val="16"/>
                <w:szCs w:val="16"/>
              </w:rPr>
              <w:t>0.2</w:t>
            </w:r>
          </w:p>
        </w:tc>
        <w:tc>
          <w:tcPr>
            <w:tcW w:w="1080" w:type="dxa"/>
            <w:vAlign w:val="bottom"/>
          </w:tcPr>
          <w:p w:rsidR="00C57F29" w:rsidRPr="00621D6D" w:rsidRDefault="00C57F29" w:rsidP="00621D6D">
            <w:pPr>
              <w:rPr>
                <w:rFonts w:ascii="Tahoma" w:hAnsi="Tahoma" w:cs="Tahoma"/>
                <w:color w:val="000000"/>
                <w:sz w:val="16"/>
                <w:szCs w:val="16"/>
              </w:rPr>
            </w:pPr>
            <w:r w:rsidRPr="00621D6D">
              <w:rPr>
                <w:rFonts w:ascii="Tahoma" w:hAnsi="Tahoma" w:cs="Tahoma"/>
                <w:color w:val="000000"/>
                <w:sz w:val="16"/>
                <w:szCs w:val="16"/>
              </w:rPr>
              <w:t>0.0</w:t>
            </w:r>
          </w:p>
        </w:tc>
        <w:tc>
          <w:tcPr>
            <w:tcW w:w="1080" w:type="dxa"/>
            <w:vAlign w:val="bottom"/>
          </w:tcPr>
          <w:p w:rsidR="00C57F29" w:rsidRPr="00621D6D" w:rsidRDefault="00C57F29" w:rsidP="00621D6D">
            <w:pPr>
              <w:rPr>
                <w:rFonts w:ascii="Tahoma" w:hAnsi="Tahoma" w:cs="Tahoma"/>
                <w:color w:val="000000"/>
                <w:sz w:val="16"/>
                <w:szCs w:val="16"/>
              </w:rPr>
            </w:pPr>
            <w:r w:rsidRPr="00621D6D">
              <w:rPr>
                <w:rFonts w:ascii="Tahoma" w:hAnsi="Tahoma" w:cs="Tahoma"/>
                <w:color w:val="000000"/>
                <w:sz w:val="16"/>
                <w:szCs w:val="16"/>
              </w:rPr>
              <w:t>98.1</w:t>
            </w:r>
          </w:p>
        </w:tc>
      </w:tr>
    </w:tbl>
    <w:p w:rsidR="003033DD" w:rsidRPr="00B95487" w:rsidRDefault="00F17308" w:rsidP="009A5371">
      <w:pPr>
        <w:jc w:val="both"/>
        <w:rPr>
          <w:sz w:val="20"/>
          <w:szCs w:val="20"/>
        </w:rPr>
      </w:pPr>
      <w:r w:rsidRPr="00B95487">
        <w:rPr>
          <w:sz w:val="20"/>
          <w:szCs w:val="20"/>
        </w:rPr>
        <w:t>Source: Trends Business Research</w:t>
      </w:r>
    </w:p>
    <w:p w:rsidR="00874775" w:rsidRDefault="00874775" w:rsidP="00B95487">
      <w:pPr>
        <w:spacing w:line="480" w:lineRule="auto"/>
        <w:jc w:val="both"/>
      </w:pPr>
    </w:p>
    <w:p w:rsidR="002A68F1" w:rsidRPr="00B95487" w:rsidRDefault="002A68F1" w:rsidP="00B95487">
      <w:pPr>
        <w:spacing w:line="480" w:lineRule="auto"/>
        <w:jc w:val="both"/>
        <w:rPr>
          <w:b/>
        </w:rPr>
      </w:pPr>
      <w:r w:rsidRPr="00B95487">
        <w:t xml:space="preserve">The data is only for a short period and one that has been characterized by a very significant recession.  In general, the </w:t>
      </w:r>
      <w:r w:rsidR="008667AF" w:rsidRPr="00B95487">
        <w:t>stock of firms in England was around 2</w:t>
      </w:r>
      <w:r w:rsidR="0069435D" w:rsidRPr="00B95487">
        <w:t xml:space="preserve"> percent </w:t>
      </w:r>
      <w:r w:rsidR="008667AF" w:rsidRPr="00B95487">
        <w:t xml:space="preserve">lower by the end of the study period.  Although urban areas tended to create more firms over the period relative to rural areas they also experienced greater firm destruction. </w:t>
      </w:r>
      <w:r w:rsidR="003F738E" w:rsidRPr="00B95487">
        <w:t xml:space="preserve"> </w:t>
      </w:r>
      <w:r w:rsidR="00C71250" w:rsidRPr="00B95487">
        <w:t xml:space="preserve">London has the highest death rate but also a high birth rate. </w:t>
      </w:r>
      <w:r w:rsidR="003F738E" w:rsidRPr="00B95487">
        <w:t xml:space="preserve">These findings are in line with those of the Mahoney (2013). </w:t>
      </w:r>
      <w:r w:rsidR="008667AF" w:rsidRPr="00B95487">
        <w:t xml:space="preserve">The net migration of firms was not a major source of difference over </w:t>
      </w:r>
      <w:r w:rsidR="008667AF" w:rsidRPr="00B95487">
        <w:lastRenderedPageBreak/>
        <w:t xml:space="preserve">the period although there were some interesting differences in the flow of in and out movement across the areas. </w:t>
      </w:r>
    </w:p>
    <w:p w:rsidR="002A68F1" w:rsidRPr="00B95487" w:rsidRDefault="002A68F1" w:rsidP="00B95487">
      <w:pPr>
        <w:spacing w:line="480" w:lineRule="auto"/>
        <w:jc w:val="both"/>
        <w:rPr>
          <w:b/>
        </w:rPr>
      </w:pPr>
    </w:p>
    <w:p w:rsidR="00ED0167" w:rsidRPr="00B95487" w:rsidRDefault="008667AF" w:rsidP="00B95487">
      <w:pPr>
        <w:spacing w:line="480" w:lineRule="auto"/>
        <w:jc w:val="both"/>
      </w:pPr>
      <w:r w:rsidRPr="00B95487">
        <w:t>Table 2 extends the analysis to employment and thus allows the in-situ expansion and contraction of firms to be considered. The overall net change in the stock of employment over the period for the United Kingdom as a whole was 7</w:t>
      </w:r>
      <w:r w:rsidR="0069435D" w:rsidRPr="00B95487">
        <w:t xml:space="preserve"> percent </w:t>
      </w:r>
      <w:r w:rsidRPr="00B95487">
        <w:t>but again,</w:t>
      </w:r>
      <w:r w:rsidR="003F738E" w:rsidRPr="00B95487">
        <w:t xml:space="preserve"> </w:t>
      </w:r>
      <w:r w:rsidRPr="00B95487">
        <w:t xml:space="preserve">in line with the analysis presented </w:t>
      </w:r>
      <w:r w:rsidR="00ED0167" w:rsidRPr="00B95487">
        <w:t xml:space="preserve">earlier </w:t>
      </w:r>
      <w:r w:rsidRPr="00B95487">
        <w:t>in this article, there was a clear urban to rural difference with the dense urban areas experiencing the grea</w:t>
      </w:r>
      <w:r w:rsidR="003F738E" w:rsidRPr="00B95487">
        <w:t>test proportionate job loss with this appearing mainly to be due to the impact on greater loss of employment through firm closure in the deeply urban areas compared to the very rural.</w:t>
      </w:r>
      <w:r w:rsidR="00ED0167" w:rsidRPr="00B95487">
        <w:t xml:space="preserve">  </w:t>
      </w:r>
      <w:r w:rsidR="00F17308" w:rsidRPr="00B95487">
        <w:t xml:space="preserve">The </w:t>
      </w:r>
      <w:r w:rsidR="00ED0167" w:rsidRPr="00B95487">
        <w:t xml:space="preserve">Fothergill and Gudgin </w:t>
      </w:r>
      <w:r w:rsidR="00F17308" w:rsidRPr="00B95487">
        <w:t>(</w:t>
      </w:r>
      <w:r w:rsidR="00CB7410" w:rsidRPr="00B95487">
        <w:t xml:space="preserve">1982) finding for </w:t>
      </w:r>
      <w:r w:rsidR="00ED0167" w:rsidRPr="00B95487">
        <w:t xml:space="preserve"> period 1959-1973 that the contribution of firm closure was much the same across the urban to rural continuum </w:t>
      </w:r>
      <w:r w:rsidR="00C71250" w:rsidRPr="00B95487">
        <w:t xml:space="preserve">no longer appears to be the case. </w:t>
      </w:r>
      <w:r w:rsidR="0069435D" w:rsidRPr="00B95487">
        <w:t xml:space="preserve">In the past few years at least, </w:t>
      </w:r>
      <w:r w:rsidR="00C71250" w:rsidRPr="00B95487">
        <w:t xml:space="preserve">London </w:t>
      </w:r>
      <w:r w:rsidR="0069435D" w:rsidRPr="00B95487">
        <w:t>has tended</w:t>
      </w:r>
      <w:r w:rsidR="00C71250" w:rsidRPr="00B95487">
        <w:t xml:space="preserve">, on balance, to lose employment through net migration and this is in contrast to the other conurbations which are broadly neutral in this respect. The other conurbations have tended to suffer greater employment </w:t>
      </w:r>
      <w:r w:rsidR="0069435D" w:rsidRPr="00B95487">
        <w:t xml:space="preserve">loss </w:t>
      </w:r>
      <w:r w:rsidR="00C71250" w:rsidRPr="00B95487">
        <w:t xml:space="preserve">through net change in existing firms compared to rural areas.  </w:t>
      </w:r>
      <w:r w:rsidR="00ED0167" w:rsidRPr="00B95487">
        <w:t xml:space="preserve">Clearly, more research is needed to </w:t>
      </w:r>
      <w:r w:rsidR="005210C3" w:rsidRPr="00B95487">
        <w:t xml:space="preserve">into these </w:t>
      </w:r>
      <w:r w:rsidR="00ED0167" w:rsidRPr="00B95487">
        <w:t xml:space="preserve">different patterns of </w:t>
      </w:r>
      <w:r w:rsidR="005210C3" w:rsidRPr="00B95487">
        <w:t xml:space="preserve">firm behaviour.  </w:t>
      </w:r>
    </w:p>
    <w:p w:rsidR="00C71250" w:rsidRPr="00B95487" w:rsidRDefault="00C71250" w:rsidP="00B95487">
      <w:pPr>
        <w:spacing w:line="480" w:lineRule="auto"/>
        <w:jc w:val="both"/>
        <w:rPr>
          <w:b/>
        </w:rPr>
      </w:pPr>
    </w:p>
    <w:p w:rsidR="00C55599" w:rsidRDefault="00C55599">
      <w:pPr>
        <w:rPr>
          <w:b/>
          <w:sz w:val="22"/>
          <w:szCs w:val="22"/>
        </w:rPr>
      </w:pPr>
      <w:r>
        <w:rPr>
          <w:b/>
          <w:sz w:val="22"/>
          <w:szCs w:val="22"/>
        </w:rPr>
        <w:br w:type="page"/>
      </w:r>
    </w:p>
    <w:p w:rsidR="00C7489F" w:rsidRPr="00621D6D" w:rsidRDefault="00C7489F" w:rsidP="00C7489F">
      <w:pPr>
        <w:jc w:val="both"/>
        <w:rPr>
          <w:b/>
          <w:sz w:val="22"/>
          <w:szCs w:val="22"/>
        </w:rPr>
      </w:pPr>
      <w:r w:rsidRPr="00621D6D">
        <w:rPr>
          <w:b/>
          <w:sz w:val="22"/>
          <w:szCs w:val="22"/>
        </w:rPr>
        <w:lastRenderedPageBreak/>
        <w:t>Table 2</w:t>
      </w:r>
      <w:r w:rsidR="00414888">
        <w:rPr>
          <w:b/>
          <w:sz w:val="22"/>
          <w:szCs w:val="22"/>
        </w:rPr>
        <w:t xml:space="preserve">. </w:t>
      </w:r>
      <w:r w:rsidRPr="00621D6D">
        <w:rPr>
          <w:b/>
          <w:sz w:val="22"/>
          <w:szCs w:val="22"/>
        </w:rPr>
        <w:t xml:space="preserve"> LEP associated employment 2007-2011 by urban and rural categories as % of employment stock at beginning of 2007 (%)</w:t>
      </w:r>
    </w:p>
    <w:tbl>
      <w:tblPr>
        <w:tblStyle w:val="TableGrid"/>
        <w:tblW w:w="0" w:type="auto"/>
        <w:tblInd w:w="108" w:type="dxa"/>
        <w:tblLayout w:type="fixed"/>
        <w:tblLook w:val="04A0" w:firstRow="1" w:lastRow="0" w:firstColumn="1" w:lastColumn="0" w:noHBand="0" w:noVBand="1"/>
      </w:tblPr>
      <w:tblGrid>
        <w:gridCol w:w="1276"/>
        <w:gridCol w:w="851"/>
        <w:gridCol w:w="708"/>
        <w:gridCol w:w="993"/>
        <w:gridCol w:w="992"/>
        <w:gridCol w:w="992"/>
        <w:gridCol w:w="1559"/>
        <w:gridCol w:w="667"/>
      </w:tblGrid>
      <w:tr w:rsidR="00621D6D" w:rsidRPr="00AD21C2">
        <w:tc>
          <w:tcPr>
            <w:tcW w:w="1276" w:type="dxa"/>
          </w:tcPr>
          <w:p w:rsidR="00AD21C2" w:rsidRPr="00AD21C2" w:rsidRDefault="00AD21C2" w:rsidP="004B7F1D">
            <w:pPr>
              <w:jc w:val="both"/>
              <w:rPr>
                <w:b/>
                <w:sz w:val="16"/>
                <w:szCs w:val="16"/>
              </w:rPr>
            </w:pPr>
          </w:p>
        </w:tc>
        <w:tc>
          <w:tcPr>
            <w:tcW w:w="851" w:type="dxa"/>
          </w:tcPr>
          <w:p w:rsidR="00AD21C2" w:rsidRPr="00AD21C2" w:rsidRDefault="00AD21C2" w:rsidP="004B7F1D">
            <w:pPr>
              <w:jc w:val="both"/>
              <w:rPr>
                <w:b/>
                <w:sz w:val="16"/>
                <w:szCs w:val="16"/>
              </w:rPr>
            </w:pPr>
            <w:r w:rsidRPr="00AD21C2">
              <w:rPr>
                <w:b/>
                <w:sz w:val="16"/>
                <w:szCs w:val="16"/>
              </w:rPr>
              <w:t>Deaths</w:t>
            </w:r>
          </w:p>
        </w:tc>
        <w:tc>
          <w:tcPr>
            <w:tcW w:w="708" w:type="dxa"/>
          </w:tcPr>
          <w:p w:rsidR="00AD21C2" w:rsidRPr="00AD21C2" w:rsidRDefault="00AD21C2" w:rsidP="004B7F1D">
            <w:pPr>
              <w:jc w:val="both"/>
              <w:rPr>
                <w:b/>
                <w:sz w:val="16"/>
                <w:szCs w:val="16"/>
              </w:rPr>
            </w:pPr>
            <w:r w:rsidRPr="00AD21C2">
              <w:rPr>
                <w:b/>
                <w:sz w:val="16"/>
                <w:szCs w:val="16"/>
              </w:rPr>
              <w:t>Births</w:t>
            </w:r>
          </w:p>
        </w:tc>
        <w:tc>
          <w:tcPr>
            <w:tcW w:w="993" w:type="dxa"/>
          </w:tcPr>
          <w:p w:rsidR="00AD21C2" w:rsidRPr="00AD21C2" w:rsidRDefault="00AD21C2" w:rsidP="004B7F1D">
            <w:pPr>
              <w:jc w:val="both"/>
              <w:rPr>
                <w:b/>
                <w:sz w:val="16"/>
                <w:szCs w:val="16"/>
              </w:rPr>
            </w:pPr>
            <w:r w:rsidRPr="00AD21C2">
              <w:rPr>
                <w:b/>
                <w:sz w:val="16"/>
                <w:szCs w:val="16"/>
              </w:rPr>
              <w:t>Outward migration</w:t>
            </w:r>
          </w:p>
        </w:tc>
        <w:tc>
          <w:tcPr>
            <w:tcW w:w="992" w:type="dxa"/>
          </w:tcPr>
          <w:p w:rsidR="00AD21C2" w:rsidRPr="00AD21C2" w:rsidRDefault="00AD21C2" w:rsidP="004B7F1D">
            <w:pPr>
              <w:jc w:val="both"/>
              <w:rPr>
                <w:b/>
                <w:sz w:val="16"/>
                <w:szCs w:val="16"/>
              </w:rPr>
            </w:pPr>
            <w:r w:rsidRPr="00AD21C2">
              <w:rPr>
                <w:b/>
                <w:sz w:val="16"/>
                <w:szCs w:val="16"/>
              </w:rPr>
              <w:t>Inward migration</w:t>
            </w:r>
          </w:p>
        </w:tc>
        <w:tc>
          <w:tcPr>
            <w:tcW w:w="992" w:type="dxa"/>
          </w:tcPr>
          <w:p w:rsidR="00AD21C2" w:rsidRPr="00AD21C2" w:rsidRDefault="00AD21C2" w:rsidP="004B7F1D">
            <w:pPr>
              <w:jc w:val="both"/>
              <w:rPr>
                <w:b/>
                <w:sz w:val="16"/>
                <w:szCs w:val="16"/>
              </w:rPr>
            </w:pPr>
            <w:r w:rsidRPr="00AD21C2">
              <w:rPr>
                <w:b/>
                <w:sz w:val="16"/>
                <w:szCs w:val="16"/>
              </w:rPr>
              <w:t>Net migration</w:t>
            </w:r>
          </w:p>
        </w:tc>
        <w:tc>
          <w:tcPr>
            <w:tcW w:w="1559" w:type="dxa"/>
          </w:tcPr>
          <w:p w:rsidR="00AD21C2" w:rsidRPr="00AD21C2" w:rsidRDefault="00AD21C2" w:rsidP="004B7F1D">
            <w:pPr>
              <w:jc w:val="both"/>
              <w:rPr>
                <w:b/>
                <w:sz w:val="16"/>
                <w:szCs w:val="16"/>
              </w:rPr>
            </w:pPr>
            <w:r w:rsidRPr="00AD21C2">
              <w:rPr>
                <w:b/>
                <w:sz w:val="16"/>
                <w:szCs w:val="16"/>
              </w:rPr>
              <w:t>Net employment change in existing firm</w:t>
            </w:r>
          </w:p>
        </w:tc>
        <w:tc>
          <w:tcPr>
            <w:tcW w:w="667" w:type="dxa"/>
          </w:tcPr>
          <w:p w:rsidR="00AD21C2" w:rsidRPr="00AD21C2" w:rsidRDefault="00AD21C2" w:rsidP="004B7F1D">
            <w:pPr>
              <w:jc w:val="both"/>
              <w:rPr>
                <w:b/>
                <w:sz w:val="16"/>
                <w:szCs w:val="16"/>
              </w:rPr>
            </w:pPr>
            <w:r w:rsidRPr="00AD21C2">
              <w:rPr>
                <w:b/>
                <w:sz w:val="16"/>
                <w:szCs w:val="16"/>
              </w:rPr>
              <w:t>Stock end 2011</w:t>
            </w:r>
          </w:p>
        </w:tc>
      </w:tr>
      <w:tr w:rsidR="00D361BF" w:rsidRPr="00AD21C2">
        <w:tc>
          <w:tcPr>
            <w:tcW w:w="1276" w:type="dxa"/>
          </w:tcPr>
          <w:p w:rsidR="00D361BF" w:rsidRPr="00AD21C2" w:rsidRDefault="00D361BF" w:rsidP="004B7F1D">
            <w:pPr>
              <w:jc w:val="both"/>
              <w:rPr>
                <w:sz w:val="16"/>
                <w:szCs w:val="16"/>
              </w:rPr>
            </w:pPr>
            <w:r>
              <w:rPr>
                <w:sz w:val="16"/>
                <w:szCs w:val="16"/>
              </w:rPr>
              <w:t>London</w:t>
            </w:r>
          </w:p>
        </w:tc>
        <w:tc>
          <w:tcPr>
            <w:tcW w:w="851" w:type="dxa"/>
            <w:vAlign w:val="bottom"/>
          </w:tcPr>
          <w:p w:rsidR="00D361BF" w:rsidRDefault="00D361BF" w:rsidP="00621D6D">
            <w:pPr>
              <w:rPr>
                <w:rFonts w:ascii="Tahoma" w:hAnsi="Tahoma" w:cs="Tahoma"/>
                <w:color w:val="000000"/>
                <w:sz w:val="16"/>
                <w:szCs w:val="16"/>
              </w:rPr>
            </w:pPr>
            <w:r>
              <w:rPr>
                <w:rFonts w:ascii="Tahoma" w:hAnsi="Tahoma" w:cs="Tahoma"/>
                <w:color w:val="000000"/>
                <w:sz w:val="16"/>
                <w:szCs w:val="16"/>
              </w:rPr>
              <w:t>20.5</w:t>
            </w:r>
          </w:p>
        </w:tc>
        <w:tc>
          <w:tcPr>
            <w:tcW w:w="708" w:type="dxa"/>
            <w:vAlign w:val="bottom"/>
          </w:tcPr>
          <w:p w:rsidR="00D361BF" w:rsidRDefault="00D361BF" w:rsidP="00621D6D">
            <w:pPr>
              <w:rPr>
                <w:rFonts w:ascii="Tahoma" w:hAnsi="Tahoma" w:cs="Tahoma"/>
                <w:color w:val="000000"/>
                <w:sz w:val="16"/>
                <w:szCs w:val="16"/>
              </w:rPr>
            </w:pPr>
            <w:r>
              <w:rPr>
                <w:rFonts w:ascii="Tahoma" w:hAnsi="Tahoma" w:cs="Tahoma"/>
                <w:color w:val="000000"/>
                <w:sz w:val="16"/>
                <w:szCs w:val="16"/>
              </w:rPr>
              <w:t>14.9</w:t>
            </w:r>
          </w:p>
        </w:tc>
        <w:tc>
          <w:tcPr>
            <w:tcW w:w="993" w:type="dxa"/>
            <w:vAlign w:val="bottom"/>
          </w:tcPr>
          <w:p w:rsidR="00D361BF" w:rsidRDefault="00D361BF" w:rsidP="00621D6D">
            <w:pPr>
              <w:rPr>
                <w:rFonts w:ascii="Tahoma" w:hAnsi="Tahoma" w:cs="Tahoma"/>
                <w:color w:val="000000"/>
                <w:sz w:val="16"/>
                <w:szCs w:val="16"/>
              </w:rPr>
            </w:pPr>
            <w:r>
              <w:rPr>
                <w:rFonts w:ascii="Tahoma" w:hAnsi="Tahoma" w:cs="Tahoma"/>
                <w:color w:val="000000"/>
                <w:sz w:val="16"/>
                <w:szCs w:val="16"/>
              </w:rPr>
              <w:t>5.8</w:t>
            </w:r>
          </w:p>
        </w:tc>
        <w:tc>
          <w:tcPr>
            <w:tcW w:w="992" w:type="dxa"/>
            <w:vAlign w:val="bottom"/>
          </w:tcPr>
          <w:p w:rsidR="00D361BF" w:rsidRDefault="00D361BF" w:rsidP="00621D6D">
            <w:pPr>
              <w:rPr>
                <w:rFonts w:ascii="Tahoma" w:hAnsi="Tahoma" w:cs="Tahoma"/>
                <w:color w:val="000000"/>
                <w:sz w:val="16"/>
                <w:szCs w:val="16"/>
              </w:rPr>
            </w:pPr>
            <w:r>
              <w:rPr>
                <w:rFonts w:ascii="Tahoma" w:hAnsi="Tahoma" w:cs="Tahoma"/>
                <w:color w:val="000000"/>
                <w:sz w:val="16"/>
                <w:szCs w:val="16"/>
              </w:rPr>
              <w:t>3.8</w:t>
            </w:r>
          </w:p>
        </w:tc>
        <w:tc>
          <w:tcPr>
            <w:tcW w:w="992" w:type="dxa"/>
            <w:vAlign w:val="bottom"/>
          </w:tcPr>
          <w:p w:rsidR="00D361BF" w:rsidRDefault="00D361BF" w:rsidP="00621D6D">
            <w:pPr>
              <w:rPr>
                <w:rFonts w:ascii="Tahoma" w:hAnsi="Tahoma" w:cs="Tahoma"/>
                <w:color w:val="000000"/>
                <w:sz w:val="16"/>
                <w:szCs w:val="16"/>
              </w:rPr>
            </w:pPr>
            <w:r>
              <w:rPr>
                <w:rFonts w:ascii="Tahoma" w:hAnsi="Tahoma" w:cs="Tahoma"/>
                <w:color w:val="000000"/>
                <w:sz w:val="16"/>
                <w:szCs w:val="16"/>
              </w:rPr>
              <w:t>-2.0</w:t>
            </w:r>
          </w:p>
        </w:tc>
        <w:tc>
          <w:tcPr>
            <w:tcW w:w="1559" w:type="dxa"/>
            <w:vAlign w:val="bottom"/>
          </w:tcPr>
          <w:p w:rsidR="00D361BF" w:rsidRDefault="00D361BF" w:rsidP="00621D6D">
            <w:pPr>
              <w:rPr>
                <w:rFonts w:ascii="Tahoma" w:hAnsi="Tahoma" w:cs="Tahoma"/>
                <w:color w:val="000000"/>
                <w:sz w:val="16"/>
                <w:szCs w:val="16"/>
              </w:rPr>
            </w:pPr>
            <w:r>
              <w:rPr>
                <w:rFonts w:ascii="Tahoma" w:hAnsi="Tahoma" w:cs="Tahoma"/>
                <w:color w:val="000000"/>
                <w:sz w:val="16"/>
                <w:szCs w:val="16"/>
              </w:rPr>
              <w:t>-0.8</w:t>
            </w:r>
          </w:p>
        </w:tc>
        <w:tc>
          <w:tcPr>
            <w:tcW w:w="667" w:type="dxa"/>
            <w:vAlign w:val="bottom"/>
          </w:tcPr>
          <w:p w:rsidR="00D361BF" w:rsidRDefault="00D361BF" w:rsidP="00621D6D">
            <w:pPr>
              <w:rPr>
                <w:rFonts w:ascii="Tahoma" w:hAnsi="Tahoma" w:cs="Tahoma"/>
                <w:color w:val="000000"/>
                <w:sz w:val="16"/>
                <w:szCs w:val="16"/>
              </w:rPr>
            </w:pPr>
            <w:r>
              <w:rPr>
                <w:rFonts w:ascii="Tahoma" w:hAnsi="Tahoma" w:cs="Tahoma"/>
                <w:color w:val="000000"/>
                <w:sz w:val="16"/>
                <w:szCs w:val="16"/>
              </w:rPr>
              <w:t>91.7</w:t>
            </w:r>
          </w:p>
        </w:tc>
      </w:tr>
      <w:tr w:rsidR="00621D6D" w:rsidRPr="00AD21C2">
        <w:tc>
          <w:tcPr>
            <w:tcW w:w="1276" w:type="dxa"/>
          </w:tcPr>
          <w:p w:rsidR="00327933" w:rsidRPr="00AD21C2" w:rsidRDefault="00E440D7" w:rsidP="00E440D7">
            <w:pPr>
              <w:jc w:val="both"/>
              <w:rPr>
                <w:sz w:val="16"/>
                <w:szCs w:val="16"/>
              </w:rPr>
            </w:pPr>
            <w:r>
              <w:rPr>
                <w:sz w:val="16"/>
                <w:szCs w:val="16"/>
              </w:rPr>
              <w:t>Metropolitan.)e</w:t>
            </w:r>
            <w:r w:rsidR="00D361BF">
              <w:rPr>
                <w:sz w:val="16"/>
                <w:szCs w:val="16"/>
              </w:rPr>
              <w:t>x London)</w:t>
            </w:r>
          </w:p>
        </w:tc>
        <w:tc>
          <w:tcPr>
            <w:tcW w:w="851" w:type="dxa"/>
            <w:vAlign w:val="bottom"/>
          </w:tcPr>
          <w:p w:rsidR="00327933" w:rsidRDefault="00D361BF" w:rsidP="00621D6D">
            <w:pPr>
              <w:rPr>
                <w:rFonts w:ascii="Tahoma" w:hAnsi="Tahoma" w:cs="Tahoma"/>
                <w:color w:val="000000"/>
                <w:sz w:val="16"/>
                <w:szCs w:val="16"/>
              </w:rPr>
            </w:pPr>
            <w:r>
              <w:rPr>
                <w:rFonts w:ascii="Tahoma" w:hAnsi="Tahoma" w:cs="Tahoma"/>
                <w:color w:val="000000"/>
                <w:sz w:val="16"/>
                <w:szCs w:val="16"/>
              </w:rPr>
              <w:t>20.2</w:t>
            </w:r>
          </w:p>
        </w:tc>
        <w:tc>
          <w:tcPr>
            <w:tcW w:w="708" w:type="dxa"/>
            <w:vAlign w:val="bottom"/>
          </w:tcPr>
          <w:p w:rsidR="00327933" w:rsidRDefault="00D361BF" w:rsidP="00621D6D">
            <w:pPr>
              <w:rPr>
                <w:rFonts w:ascii="Tahoma" w:hAnsi="Tahoma" w:cs="Tahoma"/>
                <w:color w:val="000000"/>
                <w:sz w:val="16"/>
                <w:szCs w:val="16"/>
              </w:rPr>
            </w:pPr>
            <w:r>
              <w:rPr>
                <w:rFonts w:ascii="Tahoma" w:hAnsi="Tahoma" w:cs="Tahoma"/>
                <w:color w:val="000000"/>
                <w:sz w:val="16"/>
                <w:szCs w:val="16"/>
              </w:rPr>
              <w:t>14.3</w:t>
            </w:r>
          </w:p>
        </w:tc>
        <w:tc>
          <w:tcPr>
            <w:tcW w:w="993" w:type="dxa"/>
            <w:vAlign w:val="bottom"/>
          </w:tcPr>
          <w:p w:rsidR="00327933" w:rsidRDefault="00D361BF" w:rsidP="00621D6D">
            <w:pPr>
              <w:rPr>
                <w:rFonts w:ascii="Tahoma" w:hAnsi="Tahoma" w:cs="Tahoma"/>
                <w:color w:val="000000"/>
                <w:sz w:val="16"/>
                <w:szCs w:val="16"/>
              </w:rPr>
            </w:pPr>
            <w:r>
              <w:rPr>
                <w:rFonts w:ascii="Tahoma" w:hAnsi="Tahoma" w:cs="Tahoma"/>
                <w:color w:val="000000"/>
                <w:sz w:val="16"/>
                <w:szCs w:val="16"/>
              </w:rPr>
              <w:t>4.3</w:t>
            </w:r>
          </w:p>
        </w:tc>
        <w:tc>
          <w:tcPr>
            <w:tcW w:w="992" w:type="dxa"/>
            <w:vAlign w:val="bottom"/>
          </w:tcPr>
          <w:p w:rsidR="00327933" w:rsidRDefault="00D361BF" w:rsidP="00621D6D">
            <w:pPr>
              <w:rPr>
                <w:rFonts w:ascii="Tahoma" w:hAnsi="Tahoma" w:cs="Tahoma"/>
                <w:color w:val="000000"/>
                <w:sz w:val="16"/>
                <w:szCs w:val="16"/>
              </w:rPr>
            </w:pPr>
            <w:r>
              <w:rPr>
                <w:rFonts w:ascii="Tahoma" w:hAnsi="Tahoma" w:cs="Tahoma"/>
                <w:color w:val="000000"/>
                <w:sz w:val="16"/>
                <w:szCs w:val="16"/>
              </w:rPr>
              <w:t>4.8</w:t>
            </w:r>
          </w:p>
        </w:tc>
        <w:tc>
          <w:tcPr>
            <w:tcW w:w="992" w:type="dxa"/>
            <w:vAlign w:val="bottom"/>
          </w:tcPr>
          <w:p w:rsidR="00327933" w:rsidRDefault="00D361BF" w:rsidP="00621D6D">
            <w:pPr>
              <w:rPr>
                <w:rFonts w:ascii="Tahoma" w:hAnsi="Tahoma" w:cs="Tahoma"/>
                <w:color w:val="000000"/>
                <w:sz w:val="16"/>
                <w:szCs w:val="16"/>
              </w:rPr>
            </w:pPr>
            <w:r>
              <w:rPr>
                <w:rFonts w:ascii="Tahoma" w:hAnsi="Tahoma" w:cs="Tahoma"/>
                <w:color w:val="000000"/>
                <w:sz w:val="16"/>
                <w:szCs w:val="16"/>
              </w:rPr>
              <w:t>0.5</w:t>
            </w:r>
          </w:p>
        </w:tc>
        <w:tc>
          <w:tcPr>
            <w:tcW w:w="1559" w:type="dxa"/>
            <w:vAlign w:val="bottom"/>
          </w:tcPr>
          <w:p w:rsidR="00327933" w:rsidRDefault="00D361BF" w:rsidP="00621D6D">
            <w:pPr>
              <w:rPr>
                <w:rFonts w:ascii="Tahoma" w:hAnsi="Tahoma" w:cs="Tahoma"/>
                <w:color w:val="000000"/>
                <w:sz w:val="16"/>
                <w:szCs w:val="16"/>
              </w:rPr>
            </w:pPr>
            <w:r>
              <w:rPr>
                <w:rFonts w:ascii="Tahoma" w:hAnsi="Tahoma" w:cs="Tahoma"/>
                <w:color w:val="000000"/>
                <w:sz w:val="16"/>
                <w:szCs w:val="16"/>
              </w:rPr>
              <w:t>-2.1</w:t>
            </w:r>
          </w:p>
        </w:tc>
        <w:tc>
          <w:tcPr>
            <w:tcW w:w="667" w:type="dxa"/>
            <w:vAlign w:val="bottom"/>
          </w:tcPr>
          <w:p w:rsidR="00327933" w:rsidRDefault="00D361BF" w:rsidP="00621D6D">
            <w:pPr>
              <w:rPr>
                <w:rFonts w:ascii="Tahoma" w:hAnsi="Tahoma" w:cs="Tahoma"/>
                <w:color w:val="000000"/>
                <w:sz w:val="16"/>
                <w:szCs w:val="16"/>
              </w:rPr>
            </w:pPr>
            <w:r>
              <w:rPr>
                <w:rFonts w:ascii="Tahoma" w:hAnsi="Tahoma" w:cs="Tahoma"/>
                <w:color w:val="000000"/>
                <w:sz w:val="16"/>
                <w:szCs w:val="16"/>
              </w:rPr>
              <w:t>92.5</w:t>
            </w:r>
          </w:p>
        </w:tc>
      </w:tr>
      <w:tr w:rsidR="00621D6D" w:rsidRPr="00AD21C2">
        <w:tc>
          <w:tcPr>
            <w:tcW w:w="1276" w:type="dxa"/>
          </w:tcPr>
          <w:p w:rsidR="00327933" w:rsidRPr="00AD21C2" w:rsidRDefault="00E440D7" w:rsidP="00E440D7">
            <w:pPr>
              <w:jc w:val="both"/>
              <w:rPr>
                <w:sz w:val="16"/>
                <w:szCs w:val="16"/>
              </w:rPr>
            </w:pPr>
            <w:r>
              <w:rPr>
                <w:sz w:val="16"/>
                <w:szCs w:val="16"/>
              </w:rPr>
              <w:t>Urban</w:t>
            </w:r>
          </w:p>
        </w:tc>
        <w:tc>
          <w:tcPr>
            <w:tcW w:w="851" w:type="dxa"/>
            <w:vAlign w:val="bottom"/>
          </w:tcPr>
          <w:p w:rsidR="00327933" w:rsidRDefault="00327933" w:rsidP="00621D6D">
            <w:pPr>
              <w:rPr>
                <w:rFonts w:ascii="Tahoma" w:hAnsi="Tahoma" w:cs="Tahoma"/>
                <w:color w:val="000000"/>
                <w:sz w:val="16"/>
                <w:szCs w:val="16"/>
              </w:rPr>
            </w:pPr>
            <w:r>
              <w:rPr>
                <w:rFonts w:ascii="Tahoma" w:hAnsi="Tahoma" w:cs="Tahoma"/>
                <w:color w:val="000000"/>
                <w:sz w:val="16"/>
                <w:szCs w:val="16"/>
              </w:rPr>
              <w:t>19.8</w:t>
            </w:r>
          </w:p>
        </w:tc>
        <w:tc>
          <w:tcPr>
            <w:tcW w:w="708" w:type="dxa"/>
            <w:vAlign w:val="bottom"/>
          </w:tcPr>
          <w:p w:rsidR="00327933" w:rsidRDefault="00327933" w:rsidP="00621D6D">
            <w:pPr>
              <w:rPr>
                <w:rFonts w:ascii="Tahoma" w:hAnsi="Tahoma" w:cs="Tahoma"/>
                <w:color w:val="000000"/>
                <w:sz w:val="16"/>
                <w:szCs w:val="16"/>
              </w:rPr>
            </w:pPr>
            <w:r>
              <w:rPr>
                <w:rFonts w:ascii="Tahoma" w:hAnsi="Tahoma" w:cs="Tahoma"/>
                <w:color w:val="000000"/>
                <w:sz w:val="16"/>
                <w:szCs w:val="16"/>
              </w:rPr>
              <w:t>14.2</w:t>
            </w:r>
          </w:p>
        </w:tc>
        <w:tc>
          <w:tcPr>
            <w:tcW w:w="993" w:type="dxa"/>
            <w:vAlign w:val="bottom"/>
          </w:tcPr>
          <w:p w:rsidR="00327933" w:rsidRDefault="00327933" w:rsidP="00621D6D">
            <w:pPr>
              <w:rPr>
                <w:rFonts w:ascii="Tahoma" w:hAnsi="Tahoma" w:cs="Tahoma"/>
                <w:color w:val="000000"/>
                <w:sz w:val="16"/>
                <w:szCs w:val="16"/>
              </w:rPr>
            </w:pPr>
            <w:r>
              <w:rPr>
                <w:rFonts w:ascii="Tahoma" w:hAnsi="Tahoma" w:cs="Tahoma"/>
                <w:color w:val="000000"/>
                <w:sz w:val="16"/>
                <w:szCs w:val="16"/>
              </w:rPr>
              <w:t>4.6</w:t>
            </w:r>
          </w:p>
        </w:tc>
        <w:tc>
          <w:tcPr>
            <w:tcW w:w="992" w:type="dxa"/>
            <w:vAlign w:val="bottom"/>
          </w:tcPr>
          <w:p w:rsidR="00327933" w:rsidRDefault="00327933" w:rsidP="00621D6D">
            <w:pPr>
              <w:rPr>
                <w:rFonts w:ascii="Tahoma" w:hAnsi="Tahoma" w:cs="Tahoma"/>
                <w:color w:val="000000"/>
                <w:sz w:val="16"/>
                <w:szCs w:val="16"/>
              </w:rPr>
            </w:pPr>
            <w:r>
              <w:rPr>
                <w:rFonts w:ascii="Tahoma" w:hAnsi="Tahoma" w:cs="Tahoma"/>
                <w:color w:val="000000"/>
                <w:sz w:val="16"/>
                <w:szCs w:val="16"/>
              </w:rPr>
              <w:t>5.2</w:t>
            </w:r>
          </w:p>
        </w:tc>
        <w:tc>
          <w:tcPr>
            <w:tcW w:w="992" w:type="dxa"/>
            <w:vAlign w:val="bottom"/>
          </w:tcPr>
          <w:p w:rsidR="00327933" w:rsidRDefault="00327933" w:rsidP="00621D6D">
            <w:pPr>
              <w:rPr>
                <w:rFonts w:ascii="Tahoma" w:hAnsi="Tahoma" w:cs="Tahoma"/>
                <w:color w:val="000000"/>
                <w:sz w:val="16"/>
                <w:szCs w:val="16"/>
              </w:rPr>
            </w:pPr>
            <w:r>
              <w:rPr>
                <w:rFonts w:ascii="Tahoma" w:hAnsi="Tahoma" w:cs="Tahoma"/>
                <w:color w:val="000000"/>
                <w:sz w:val="16"/>
                <w:szCs w:val="16"/>
              </w:rPr>
              <w:t>0.6</w:t>
            </w:r>
          </w:p>
        </w:tc>
        <w:tc>
          <w:tcPr>
            <w:tcW w:w="1559" w:type="dxa"/>
            <w:vAlign w:val="bottom"/>
          </w:tcPr>
          <w:p w:rsidR="00327933" w:rsidRDefault="00327933" w:rsidP="00621D6D">
            <w:pPr>
              <w:rPr>
                <w:rFonts w:ascii="Tahoma" w:hAnsi="Tahoma" w:cs="Tahoma"/>
                <w:color w:val="000000"/>
                <w:sz w:val="16"/>
                <w:szCs w:val="16"/>
              </w:rPr>
            </w:pPr>
            <w:r>
              <w:rPr>
                <w:rFonts w:ascii="Tahoma" w:hAnsi="Tahoma" w:cs="Tahoma"/>
                <w:color w:val="000000"/>
                <w:sz w:val="16"/>
                <w:szCs w:val="16"/>
              </w:rPr>
              <w:t>-1.5</w:t>
            </w:r>
          </w:p>
        </w:tc>
        <w:tc>
          <w:tcPr>
            <w:tcW w:w="667" w:type="dxa"/>
            <w:vAlign w:val="bottom"/>
          </w:tcPr>
          <w:p w:rsidR="00327933" w:rsidRDefault="00327933" w:rsidP="00621D6D">
            <w:pPr>
              <w:rPr>
                <w:rFonts w:ascii="Tahoma" w:hAnsi="Tahoma" w:cs="Tahoma"/>
                <w:color w:val="000000"/>
                <w:sz w:val="16"/>
                <w:szCs w:val="16"/>
              </w:rPr>
            </w:pPr>
            <w:r>
              <w:rPr>
                <w:rFonts w:ascii="Tahoma" w:hAnsi="Tahoma" w:cs="Tahoma"/>
                <w:color w:val="000000"/>
                <w:sz w:val="16"/>
                <w:szCs w:val="16"/>
              </w:rPr>
              <w:t>93.5</w:t>
            </w:r>
          </w:p>
        </w:tc>
      </w:tr>
      <w:tr w:rsidR="00621D6D" w:rsidRPr="00AD21C2">
        <w:tc>
          <w:tcPr>
            <w:tcW w:w="1276" w:type="dxa"/>
          </w:tcPr>
          <w:p w:rsidR="00327933" w:rsidRPr="00AD21C2" w:rsidRDefault="00327933" w:rsidP="00E440D7">
            <w:pPr>
              <w:jc w:val="both"/>
              <w:rPr>
                <w:sz w:val="16"/>
                <w:szCs w:val="16"/>
              </w:rPr>
            </w:pPr>
            <w:r w:rsidRPr="00AD21C2">
              <w:rPr>
                <w:sz w:val="16"/>
                <w:szCs w:val="16"/>
              </w:rPr>
              <w:t>S</w:t>
            </w:r>
            <w:r w:rsidR="00E440D7">
              <w:rPr>
                <w:sz w:val="16"/>
                <w:szCs w:val="16"/>
              </w:rPr>
              <w:t>emi-Urban.</w:t>
            </w:r>
          </w:p>
        </w:tc>
        <w:tc>
          <w:tcPr>
            <w:tcW w:w="851" w:type="dxa"/>
            <w:vAlign w:val="bottom"/>
          </w:tcPr>
          <w:p w:rsidR="00327933" w:rsidRDefault="00327933" w:rsidP="00621D6D">
            <w:pPr>
              <w:rPr>
                <w:rFonts w:ascii="Tahoma" w:hAnsi="Tahoma" w:cs="Tahoma"/>
                <w:color w:val="000000"/>
                <w:sz w:val="16"/>
                <w:szCs w:val="16"/>
              </w:rPr>
            </w:pPr>
            <w:r>
              <w:rPr>
                <w:rFonts w:ascii="Tahoma" w:hAnsi="Tahoma" w:cs="Tahoma"/>
                <w:color w:val="000000"/>
                <w:sz w:val="16"/>
                <w:szCs w:val="16"/>
              </w:rPr>
              <w:t>18.8</w:t>
            </w:r>
          </w:p>
        </w:tc>
        <w:tc>
          <w:tcPr>
            <w:tcW w:w="708" w:type="dxa"/>
            <w:vAlign w:val="bottom"/>
          </w:tcPr>
          <w:p w:rsidR="00327933" w:rsidRDefault="00327933" w:rsidP="00621D6D">
            <w:pPr>
              <w:rPr>
                <w:rFonts w:ascii="Tahoma" w:hAnsi="Tahoma" w:cs="Tahoma"/>
                <w:color w:val="000000"/>
                <w:sz w:val="16"/>
                <w:szCs w:val="16"/>
              </w:rPr>
            </w:pPr>
            <w:r>
              <w:rPr>
                <w:rFonts w:ascii="Tahoma" w:hAnsi="Tahoma" w:cs="Tahoma"/>
                <w:color w:val="000000"/>
                <w:sz w:val="16"/>
                <w:szCs w:val="16"/>
              </w:rPr>
              <w:t>13.8</w:t>
            </w:r>
          </w:p>
        </w:tc>
        <w:tc>
          <w:tcPr>
            <w:tcW w:w="993" w:type="dxa"/>
            <w:vAlign w:val="bottom"/>
          </w:tcPr>
          <w:p w:rsidR="00327933" w:rsidRDefault="00327933" w:rsidP="00621D6D">
            <w:pPr>
              <w:rPr>
                <w:rFonts w:ascii="Tahoma" w:hAnsi="Tahoma" w:cs="Tahoma"/>
                <w:color w:val="000000"/>
                <w:sz w:val="16"/>
                <w:szCs w:val="16"/>
              </w:rPr>
            </w:pPr>
            <w:r>
              <w:rPr>
                <w:rFonts w:ascii="Tahoma" w:hAnsi="Tahoma" w:cs="Tahoma"/>
                <w:color w:val="000000"/>
                <w:sz w:val="16"/>
                <w:szCs w:val="16"/>
              </w:rPr>
              <w:t>3.8</w:t>
            </w:r>
          </w:p>
        </w:tc>
        <w:tc>
          <w:tcPr>
            <w:tcW w:w="992" w:type="dxa"/>
            <w:vAlign w:val="bottom"/>
          </w:tcPr>
          <w:p w:rsidR="00327933" w:rsidRDefault="00327933" w:rsidP="00621D6D">
            <w:pPr>
              <w:rPr>
                <w:rFonts w:ascii="Tahoma" w:hAnsi="Tahoma" w:cs="Tahoma"/>
                <w:color w:val="000000"/>
                <w:sz w:val="16"/>
                <w:szCs w:val="16"/>
              </w:rPr>
            </w:pPr>
            <w:r>
              <w:rPr>
                <w:rFonts w:ascii="Tahoma" w:hAnsi="Tahoma" w:cs="Tahoma"/>
                <w:color w:val="000000"/>
                <w:sz w:val="16"/>
                <w:szCs w:val="16"/>
              </w:rPr>
              <w:t>3.7</w:t>
            </w:r>
          </w:p>
        </w:tc>
        <w:tc>
          <w:tcPr>
            <w:tcW w:w="992" w:type="dxa"/>
            <w:vAlign w:val="bottom"/>
          </w:tcPr>
          <w:p w:rsidR="00327933" w:rsidRDefault="00327933" w:rsidP="00621D6D">
            <w:pPr>
              <w:rPr>
                <w:rFonts w:ascii="Tahoma" w:hAnsi="Tahoma" w:cs="Tahoma"/>
                <w:color w:val="000000"/>
                <w:sz w:val="16"/>
                <w:szCs w:val="16"/>
              </w:rPr>
            </w:pPr>
            <w:r>
              <w:rPr>
                <w:rFonts w:ascii="Tahoma" w:hAnsi="Tahoma" w:cs="Tahoma"/>
                <w:color w:val="000000"/>
                <w:sz w:val="16"/>
                <w:szCs w:val="16"/>
              </w:rPr>
              <w:t>-0.1</w:t>
            </w:r>
          </w:p>
        </w:tc>
        <w:tc>
          <w:tcPr>
            <w:tcW w:w="1559" w:type="dxa"/>
            <w:vAlign w:val="bottom"/>
          </w:tcPr>
          <w:p w:rsidR="00327933" w:rsidRDefault="00327933" w:rsidP="00621D6D">
            <w:pPr>
              <w:rPr>
                <w:rFonts w:ascii="Tahoma" w:hAnsi="Tahoma" w:cs="Tahoma"/>
                <w:color w:val="000000"/>
                <w:sz w:val="16"/>
                <w:szCs w:val="16"/>
              </w:rPr>
            </w:pPr>
            <w:r>
              <w:rPr>
                <w:rFonts w:ascii="Tahoma" w:hAnsi="Tahoma" w:cs="Tahoma"/>
                <w:color w:val="000000"/>
                <w:sz w:val="16"/>
                <w:szCs w:val="16"/>
              </w:rPr>
              <w:t>-1.8</w:t>
            </w:r>
          </w:p>
        </w:tc>
        <w:tc>
          <w:tcPr>
            <w:tcW w:w="667" w:type="dxa"/>
            <w:vAlign w:val="bottom"/>
          </w:tcPr>
          <w:p w:rsidR="00327933" w:rsidRDefault="00327933" w:rsidP="00621D6D">
            <w:pPr>
              <w:rPr>
                <w:rFonts w:ascii="Tahoma" w:hAnsi="Tahoma" w:cs="Tahoma"/>
                <w:color w:val="000000"/>
                <w:sz w:val="16"/>
                <w:szCs w:val="16"/>
              </w:rPr>
            </w:pPr>
            <w:r>
              <w:rPr>
                <w:rFonts w:ascii="Tahoma" w:hAnsi="Tahoma" w:cs="Tahoma"/>
                <w:color w:val="000000"/>
                <w:sz w:val="16"/>
                <w:szCs w:val="16"/>
              </w:rPr>
              <w:t>93.1</w:t>
            </w:r>
          </w:p>
        </w:tc>
      </w:tr>
      <w:tr w:rsidR="00621D6D" w:rsidRPr="00AD21C2">
        <w:tc>
          <w:tcPr>
            <w:tcW w:w="1276" w:type="dxa"/>
          </w:tcPr>
          <w:p w:rsidR="00334E53" w:rsidRPr="00AD21C2" w:rsidRDefault="00334E53" w:rsidP="004B7F1D">
            <w:pPr>
              <w:jc w:val="both"/>
              <w:rPr>
                <w:sz w:val="16"/>
                <w:szCs w:val="16"/>
              </w:rPr>
            </w:pPr>
            <w:r w:rsidRPr="00AD21C2">
              <w:rPr>
                <w:sz w:val="16"/>
                <w:szCs w:val="16"/>
              </w:rPr>
              <w:t>Rural</w:t>
            </w:r>
          </w:p>
        </w:tc>
        <w:tc>
          <w:tcPr>
            <w:tcW w:w="851" w:type="dxa"/>
            <w:vAlign w:val="bottom"/>
          </w:tcPr>
          <w:p w:rsidR="00334E53" w:rsidRDefault="00334E53" w:rsidP="00621D6D">
            <w:pPr>
              <w:rPr>
                <w:rFonts w:ascii="Tahoma" w:hAnsi="Tahoma" w:cs="Tahoma"/>
                <w:color w:val="000000"/>
                <w:sz w:val="16"/>
                <w:szCs w:val="16"/>
              </w:rPr>
            </w:pPr>
            <w:r>
              <w:rPr>
                <w:rFonts w:ascii="Tahoma" w:hAnsi="Tahoma" w:cs="Tahoma"/>
                <w:color w:val="000000"/>
                <w:sz w:val="16"/>
                <w:szCs w:val="16"/>
              </w:rPr>
              <w:t>18.5</w:t>
            </w:r>
          </w:p>
        </w:tc>
        <w:tc>
          <w:tcPr>
            <w:tcW w:w="708" w:type="dxa"/>
            <w:vAlign w:val="bottom"/>
          </w:tcPr>
          <w:p w:rsidR="00334E53" w:rsidRDefault="00334E53" w:rsidP="00621D6D">
            <w:pPr>
              <w:rPr>
                <w:rFonts w:ascii="Tahoma" w:hAnsi="Tahoma" w:cs="Tahoma"/>
                <w:color w:val="000000"/>
                <w:sz w:val="16"/>
                <w:szCs w:val="16"/>
              </w:rPr>
            </w:pPr>
            <w:r>
              <w:rPr>
                <w:rFonts w:ascii="Tahoma" w:hAnsi="Tahoma" w:cs="Tahoma"/>
                <w:color w:val="000000"/>
                <w:sz w:val="16"/>
                <w:szCs w:val="16"/>
              </w:rPr>
              <w:t>14.2</w:t>
            </w:r>
          </w:p>
        </w:tc>
        <w:tc>
          <w:tcPr>
            <w:tcW w:w="993" w:type="dxa"/>
            <w:vAlign w:val="bottom"/>
          </w:tcPr>
          <w:p w:rsidR="00334E53" w:rsidRDefault="00334E53" w:rsidP="00621D6D">
            <w:pPr>
              <w:rPr>
                <w:rFonts w:ascii="Tahoma" w:hAnsi="Tahoma" w:cs="Tahoma"/>
                <w:color w:val="000000"/>
                <w:sz w:val="16"/>
                <w:szCs w:val="16"/>
              </w:rPr>
            </w:pPr>
            <w:r>
              <w:rPr>
                <w:rFonts w:ascii="Tahoma" w:hAnsi="Tahoma" w:cs="Tahoma"/>
                <w:color w:val="000000"/>
                <w:sz w:val="16"/>
                <w:szCs w:val="16"/>
              </w:rPr>
              <w:t>4.6</w:t>
            </w:r>
          </w:p>
        </w:tc>
        <w:tc>
          <w:tcPr>
            <w:tcW w:w="992" w:type="dxa"/>
            <w:vAlign w:val="bottom"/>
          </w:tcPr>
          <w:p w:rsidR="00334E53" w:rsidRDefault="00334E53" w:rsidP="00621D6D">
            <w:pPr>
              <w:rPr>
                <w:rFonts w:ascii="Tahoma" w:hAnsi="Tahoma" w:cs="Tahoma"/>
                <w:color w:val="000000"/>
                <w:sz w:val="16"/>
                <w:szCs w:val="16"/>
              </w:rPr>
            </w:pPr>
            <w:r>
              <w:rPr>
                <w:rFonts w:ascii="Tahoma" w:hAnsi="Tahoma" w:cs="Tahoma"/>
                <w:color w:val="000000"/>
                <w:sz w:val="16"/>
                <w:szCs w:val="16"/>
              </w:rPr>
              <w:t>3.5</w:t>
            </w:r>
          </w:p>
        </w:tc>
        <w:tc>
          <w:tcPr>
            <w:tcW w:w="992" w:type="dxa"/>
            <w:vAlign w:val="bottom"/>
          </w:tcPr>
          <w:p w:rsidR="00334E53" w:rsidRDefault="00334E53" w:rsidP="00621D6D">
            <w:pPr>
              <w:rPr>
                <w:rFonts w:ascii="Tahoma" w:hAnsi="Tahoma" w:cs="Tahoma"/>
                <w:color w:val="000000"/>
                <w:sz w:val="16"/>
                <w:szCs w:val="16"/>
              </w:rPr>
            </w:pPr>
            <w:r>
              <w:rPr>
                <w:rFonts w:ascii="Tahoma" w:hAnsi="Tahoma" w:cs="Tahoma"/>
                <w:color w:val="000000"/>
                <w:sz w:val="16"/>
                <w:szCs w:val="16"/>
              </w:rPr>
              <w:t>-1.1</w:t>
            </w:r>
          </w:p>
        </w:tc>
        <w:tc>
          <w:tcPr>
            <w:tcW w:w="1559" w:type="dxa"/>
            <w:vAlign w:val="bottom"/>
          </w:tcPr>
          <w:p w:rsidR="00334E53" w:rsidRDefault="00334E53" w:rsidP="00621D6D">
            <w:pPr>
              <w:rPr>
                <w:rFonts w:ascii="Tahoma" w:hAnsi="Tahoma" w:cs="Tahoma"/>
                <w:color w:val="000000"/>
                <w:sz w:val="16"/>
                <w:szCs w:val="16"/>
              </w:rPr>
            </w:pPr>
            <w:r>
              <w:rPr>
                <w:rFonts w:ascii="Tahoma" w:hAnsi="Tahoma" w:cs="Tahoma"/>
                <w:color w:val="000000"/>
                <w:sz w:val="16"/>
                <w:szCs w:val="16"/>
              </w:rPr>
              <w:t>-1.6</w:t>
            </w:r>
          </w:p>
        </w:tc>
        <w:tc>
          <w:tcPr>
            <w:tcW w:w="667" w:type="dxa"/>
            <w:vAlign w:val="bottom"/>
          </w:tcPr>
          <w:p w:rsidR="00334E53" w:rsidRDefault="00334E53" w:rsidP="00621D6D">
            <w:pPr>
              <w:rPr>
                <w:rFonts w:ascii="Tahoma" w:hAnsi="Tahoma" w:cs="Tahoma"/>
                <w:color w:val="000000"/>
                <w:sz w:val="16"/>
                <w:szCs w:val="16"/>
              </w:rPr>
            </w:pPr>
            <w:r>
              <w:rPr>
                <w:rFonts w:ascii="Tahoma" w:hAnsi="Tahoma" w:cs="Tahoma"/>
                <w:color w:val="000000"/>
                <w:sz w:val="16"/>
                <w:szCs w:val="16"/>
              </w:rPr>
              <w:t>93.0</w:t>
            </w:r>
          </w:p>
        </w:tc>
      </w:tr>
      <w:tr w:rsidR="00621D6D" w:rsidRPr="00AD21C2">
        <w:tc>
          <w:tcPr>
            <w:tcW w:w="1276" w:type="dxa"/>
          </w:tcPr>
          <w:p w:rsidR="00334E53" w:rsidRPr="00AD21C2" w:rsidRDefault="00334E53" w:rsidP="004B7F1D">
            <w:pPr>
              <w:jc w:val="both"/>
              <w:rPr>
                <w:sz w:val="16"/>
                <w:szCs w:val="16"/>
              </w:rPr>
            </w:pPr>
            <w:r w:rsidRPr="00AD21C2">
              <w:rPr>
                <w:sz w:val="16"/>
                <w:szCs w:val="16"/>
              </w:rPr>
              <w:t>Very rural</w:t>
            </w:r>
          </w:p>
        </w:tc>
        <w:tc>
          <w:tcPr>
            <w:tcW w:w="851" w:type="dxa"/>
            <w:vAlign w:val="bottom"/>
          </w:tcPr>
          <w:p w:rsidR="00334E53" w:rsidRDefault="00334E53" w:rsidP="00621D6D">
            <w:pPr>
              <w:rPr>
                <w:rFonts w:ascii="Tahoma" w:hAnsi="Tahoma" w:cs="Tahoma"/>
                <w:color w:val="000000"/>
                <w:sz w:val="16"/>
                <w:szCs w:val="16"/>
              </w:rPr>
            </w:pPr>
            <w:r>
              <w:rPr>
                <w:rFonts w:ascii="Tahoma" w:hAnsi="Tahoma" w:cs="Tahoma"/>
                <w:color w:val="000000"/>
                <w:sz w:val="16"/>
                <w:szCs w:val="16"/>
              </w:rPr>
              <w:t>17.4</w:t>
            </w:r>
          </w:p>
        </w:tc>
        <w:tc>
          <w:tcPr>
            <w:tcW w:w="708" w:type="dxa"/>
            <w:vAlign w:val="bottom"/>
          </w:tcPr>
          <w:p w:rsidR="00334E53" w:rsidRDefault="00334E53" w:rsidP="00621D6D">
            <w:pPr>
              <w:rPr>
                <w:rFonts w:ascii="Tahoma" w:hAnsi="Tahoma" w:cs="Tahoma"/>
                <w:color w:val="000000"/>
                <w:sz w:val="16"/>
                <w:szCs w:val="16"/>
              </w:rPr>
            </w:pPr>
            <w:r>
              <w:rPr>
                <w:rFonts w:ascii="Tahoma" w:hAnsi="Tahoma" w:cs="Tahoma"/>
                <w:color w:val="000000"/>
                <w:sz w:val="16"/>
                <w:szCs w:val="16"/>
              </w:rPr>
              <w:t>14.4</w:t>
            </w:r>
          </w:p>
        </w:tc>
        <w:tc>
          <w:tcPr>
            <w:tcW w:w="993" w:type="dxa"/>
            <w:vAlign w:val="bottom"/>
          </w:tcPr>
          <w:p w:rsidR="00334E53" w:rsidRDefault="00334E53" w:rsidP="00621D6D">
            <w:pPr>
              <w:rPr>
                <w:rFonts w:ascii="Tahoma" w:hAnsi="Tahoma" w:cs="Tahoma"/>
                <w:color w:val="000000"/>
                <w:sz w:val="16"/>
                <w:szCs w:val="16"/>
              </w:rPr>
            </w:pPr>
            <w:r>
              <w:rPr>
                <w:rFonts w:ascii="Tahoma" w:hAnsi="Tahoma" w:cs="Tahoma"/>
                <w:color w:val="000000"/>
                <w:sz w:val="16"/>
                <w:szCs w:val="16"/>
              </w:rPr>
              <w:t>2.7</w:t>
            </w:r>
          </w:p>
        </w:tc>
        <w:tc>
          <w:tcPr>
            <w:tcW w:w="992" w:type="dxa"/>
            <w:vAlign w:val="bottom"/>
          </w:tcPr>
          <w:p w:rsidR="00334E53" w:rsidRDefault="00334E53" w:rsidP="00621D6D">
            <w:pPr>
              <w:rPr>
                <w:rFonts w:ascii="Tahoma" w:hAnsi="Tahoma" w:cs="Tahoma"/>
                <w:color w:val="000000"/>
                <w:sz w:val="16"/>
                <w:szCs w:val="16"/>
              </w:rPr>
            </w:pPr>
            <w:r>
              <w:rPr>
                <w:rFonts w:ascii="Tahoma" w:hAnsi="Tahoma" w:cs="Tahoma"/>
                <w:color w:val="000000"/>
                <w:sz w:val="16"/>
                <w:szCs w:val="16"/>
              </w:rPr>
              <w:t>3.1</w:t>
            </w:r>
          </w:p>
        </w:tc>
        <w:tc>
          <w:tcPr>
            <w:tcW w:w="992" w:type="dxa"/>
            <w:vAlign w:val="bottom"/>
          </w:tcPr>
          <w:p w:rsidR="00334E53" w:rsidRDefault="00334E53" w:rsidP="00621D6D">
            <w:pPr>
              <w:rPr>
                <w:rFonts w:ascii="Tahoma" w:hAnsi="Tahoma" w:cs="Tahoma"/>
                <w:color w:val="000000"/>
                <w:sz w:val="16"/>
                <w:szCs w:val="16"/>
              </w:rPr>
            </w:pPr>
            <w:r>
              <w:rPr>
                <w:rFonts w:ascii="Tahoma" w:hAnsi="Tahoma" w:cs="Tahoma"/>
                <w:color w:val="000000"/>
                <w:sz w:val="16"/>
                <w:szCs w:val="16"/>
              </w:rPr>
              <w:t>0.4</w:t>
            </w:r>
          </w:p>
        </w:tc>
        <w:tc>
          <w:tcPr>
            <w:tcW w:w="1559" w:type="dxa"/>
            <w:vAlign w:val="bottom"/>
          </w:tcPr>
          <w:p w:rsidR="00334E53" w:rsidRDefault="00334E53" w:rsidP="00621D6D">
            <w:pPr>
              <w:rPr>
                <w:rFonts w:ascii="Tahoma" w:hAnsi="Tahoma" w:cs="Tahoma"/>
                <w:color w:val="000000"/>
                <w:sz w:val="16"/>
                <w:szCs w:val="16"/>
              </w:rPr>
            </w:pPr>
            <w:r>
              <w:rPr>
                <w:rFonts w:ascii="Tahoma" w:hAnsi="Tahoma" w:cs="Tahoma"/>
                <w:color w:val="000000"/>
                <w:sz w:val="16"/>
                <w:szCs w:val="16"/>
              </w:rPr>
              <w:t>-1.2</w:t>
            </w:r>
          </w:p>
        </w:tc>
        <w:tc>
          <w:tcPr>
            <w:tcW w:w="667" w:type="dxa"/>
            <w:vAlign w:val="bottom"/>
          </w:tcPr>
          <w:p w:rsidR="00334E53" w:rsidRDefault="00334E53" w:rsidP="00621D6D">
            <w:pPr>
              <w:rPr>
                <w:rFonts w:ascii="Tahoma" w:hAnsi="Tahoma" w:cs="Tahoma"/>
                <w:color w:val="000000"/>
                <w:sz w:val="16"/>
                <w:szCs w:val="16"/>
              </w:rPr>
            </w:pPr>
            <w:r>
              <w:rPr>
                <w:rFonts w:ascii="Tahoma" w:hAnsi="Tahoma" w:cs="Tahoma"/>
                <w:color w:val="000000"/>
                <w:sz w:val="16"/>
                <w:szCs w:val="16"/>
              </w:rPr>
              <w:t>96.1</w:t>
            </w:r>
          </w:p>
        </w:tc>
      </w:tr>
      <w:tr w:rsidR="00621D6D" w:rsidRPr="00AD21C2">
        <w:tc>
          <w:tcPr>
            <w:tcW w:w="1276" w:type="dxa"/>
          </w:tcPr>
          <w:p w:rsidR="007A4F8A" w:rsidRPr="00AD21C2" w:rsidRDefault="007A4F8A" w:rsidP="004B7F1D">
            <w:pPr>
              <w:jc w:val="both"/>
              <w:rPr>
                <w:sz w:val="16"/>
                <w:szCs w:val="16"/>
              </w:rPr>
            </w:pPr>
            <w:r w:rsidRPr="00AD21C2">
              <w:rPr>
                <w:sz w:val="16"/>
                <w:szCs w:val="16"/>
              </w:rPr>
              <w:t>England</w:t>
            </w:r>
          </w:p>
        </w:tc>
        <w:tc>
          <w:tcPr>
            <w:tcW w:w="851" w:type="dxa"/>
            <w:vAlign w:val="bottom"/>
          </w:tcPr>
          <w:p w:rsidR="007A4F8A" w:rsidRDefault="007A4F8A" w:rsidP="00621D6D">
            <w:pPr>
              <w:rPr>
                <w:rFonts w:ascii="Tahoma" w:hAnsi="Tahoma" w:cs="Tahoma"/>
                <w:color w:val="000000"/>
                <w:sz w:val="16"/>
                <w:szCs w:val="16"/>
              </w:rPr>
            </w:pPr>
            <w:r>
              <w:rPr>
                <w:rFonts w:ascii="Tahoma" w:hAnsi="Tahoma" w:cs="Tahoma"/>
                <w:color w:val="000000"/>
                <w:sz w:val="16"/>
                <w:szCs w:val="16"/>
              </w:rPr>
              <w:t>19.7</w:t>
            </w:r>
          </w:p>
        </w:tc>
        <w:tc>
          <w:tcPr>
            <w:tcW w:w="708" w:type="dxa"/>
            <w:vAlign w:val="bottom"/>
          </w:tcPr>
          <w:p w:rsidR="007A4F8A" w:rsidRDefault="007A4F8A" w:rsidP="00621D6D">
            <w:pPr>
              <w:rPr>
                <w:rFonts w:ascii="Tahoma" w:hAnsi="Tahoma" w:cs="Tahoma"/>
                <w:color w:val="000000"/>
                <w:sz w:val="16"/>
                <w:szCs w:val="16"/>
              </w:rPr>
            </w:pPr>
            <w:r>
              <w:rPr>
                <w:rFonts w:ascii="Tahoma" w:hAnsi="Tahoma" w:cs="Tahoma"/>
                <w:color w:val="000000"/>
                <w:sz w:val="16"/>
                <w:szCs w:val="16"/>
              </w:rPr>
              <w:t>14.3</w:t>
            </w:r>
          </w:p>
        </w:tc>
        <w:tc>
          <w:tcPr>
            <w:tcW w:w="993" w:type="dxa"/>
            <w:vAlign w:val="bottom"/>
          </w:tcPr>
          <w:p w:rsidR="007A4F8A" w:rsidRDefault="007A4F8A" w:rsidP="00621D6D">
            <w:pPr>
              <w:rPr>
                <w:rFonts w:ascii="Tahoma" w:hAnsi="Tahoma" w:cs="Tahoma"/>
                <w:color w:val="000000"/>
                <w:sz w:val="16"/>
                <w:szCs w:val="16"/>
              </w:rPr>
            </w:pPr>
            <w:r>
              <w:rPr>
                <w:rFonts w:ascii="Tahoma" w:hAnsi="Tahoma" w:cs="Tahoma"/>
                <w:color w:val="000000"/>
                <w:sz w:val="16"/>
                <w:szCs w:val="16"/>
              </w:rPr>
              <w:t>0.2</w:t>
            </w:r>
          </w:p>
        </w:tc>
        <w:tc>
          <w:tcPr>
            <w:tcW w:w="992" w:type="dxa"/>
            <w:vAlign w:val="bottom"/>
          </w:tcPr>
          <w:p w:rsidR="007A4F8A" w:rsidRDefault="007A4F8A" w:rsidP="00621D6D">
            <w:pPr>
              <w:rPr>
                <w:rFonts w:ascii="Tahoma" w:hAnsi="Tahoma" w:cs="Tahoma"/>
                <w:color w:val="000000"/>
                <w:sz w:val="16"/>
                <w:szCs w:val="16"/>
              </w:rPr>
            </w:pPr>
            <w:r>
              <w:rPr>
                <w:rFonts w:ascii="Tahoma" w:hAnsi="Tahoma" w:cs="Tahoma"/>
                <w:color w:val="000000"/>
                <w:sz w:val="16"/>
                <w:szCs w:val="16"/>
              </w:rPr>
              <w:t>0.2</w:t>
            </w:r>
          </w:p>
        </w:tc>
        <w:tc>
          <w:tcPr>
            <w:tcW w:w="992" w:type="dxa"/>
            <w:vAlign w:val="bottom"/>
          </w:tcPr>
          <w:p w:rsidR="007A4F8A" w:rsidRDefault="007A4F8A" w:rsidP="00621D6D">
            <w:pPr>
              <w:rPr>
                <w:rFonts w:ascii="Tahoma" w:hAnsi="Tahoma" w:cs="Tahoma"/>
                <w:color w:val="000000"/>
                <w:sz w:val="16"/>
                <w:szCs w:val="16"/>
              </w:rPr>
            </w:pPr>
            <w:r>
              <w:rPr>
                <w:rFonts w:ascii="Tahoma" w:hAnsi="Tahoma" w:cs="Tahoma"/>
                <w:color w:val="000000"/>
                <w:sz w:val="16"/>
                <w:szCs w:val="16"/>
              </w:rPr>
              <w:t>0.0</w:t>
            </w:r>
          </w:p>
        </w:tc>
        <w:tc>
          <w:tcPr>
            <w:tcW w:w="1559" w:type="dxa"/>
            <w:vAlign w:val="bottom"/>
          </w:tcPr>
          <w:p w:rsidR="007A4F8A" w:rsidRDefault="007A4F8A" w:rsidP="00621D6D">
            <w:pPr>
              <w:rPr>
                <w:rFonts w:ascii="Tahoma" w:hAnsi="Tahoma" w:cs="Tahoma"/>
                <w:color w:val="000000"/>
                <w:sz w:val="16"/>
                <w:szCs w:val="16"/>
              </w:rPr>
            </w:pPr>
            <w:r>
              <w:rPr>
                <w:rFonts w:ascii="Tahoma" w:hAnsi="Tahoma" w:cs="Tahoma"/>
                <w:color w:val="000000"/>
                <w:sz w:val="16"/>
                <w:szCs w:val="16"/>
              </w:rPr>
              <w:t>-1.7</w:t>
            </w:r>
          </w:p>
        </w:tc>
        <w:tc>
          <w:tcPr>
            <w:tcW w:w="667" w:type="dxa"/>
            <w:vAlign w:val="bottom"/>
          </w:tcPr>
          <w:p w:rsidR="007A4F8A" w:rsidRDefault="007A4F8A" w:rsidP="00621D6D">
            <w:pPr>
              <w:rPr>
                <w:rFonts w:ascii="Tahoma" w:hAnsi="Tahoma" w:cs="Tahoma"/>
                <w:color w:val="000000"/>
                <w:sz w:val="16"/>
                <w:szCs w:val="16"/>
              </w:rPr>
            </w:pPr>
            <w:r>
              <w:rPr>
                <w:rFonts w:ascii="Tahoma" w:hAnsi="Tahoma" w:cs="Tahoma"/>
                <w:color w:val="000000"/>
                <w:sz w:val="16"/>
                <w:szCs w:val="16"/>
              </w:rPr>
              <w:t>93.0</w:t>
            </w:r>
          </w:p>
        </w:tc>
      </w:tr>
    </w:tbl>
    <w:p w:rsidR="00C7489F" w:rsidRPr="00874775" w:rsidRDefault="00874775" w:rsidP="009A5371">
      <w:pPr>
        <w:jc w:val="both"/>
        <w:rPr>
          <w:sz w:val="22"/>
        </w:rPr>
      </w:pPr>
      <w:r w:rsidRPr="00874775">
        <w:rPr>
          <w:sz w:val="22"/>
        </w:rPr>
        <w:t xml:space="preserve">Source: </w:t>
      </w:r>
      <w:r w:rsidR="00F17308" w:rsidRPr="00874775">
        <w:rPr>
          <w:sz w:val="22"/>
        </w:rPr>
        <w:t>Trends Business Research</w:t>
      </w:r>
    </w:p>
    <w:p w:rsidR="00F17308" w:rsidRDefault="00F17308" w:rsidP="009A5371">
      <w:pPr>
        <w:jc w:val="both"/>
        <w:rPr>
          <w:b/>
        </w:rPr>
      </w:pPr>
    </w:p>
    <w:p w:rsidR="003A3391" w:rsidRPr="00F27879" w:rsidRDefault="003A3391" w:rsidP="003A3391">
      <w:pPr>
        <w:jc w:val="both"/>
        <w:rPr>
          <w:b/>
          <w:sz w:val="28"/>
          <w:szCs w:val="28"/>
        </w:rPr>
      </w:pPr>
      <w:r>
        <w:rPr>
          <w:b/>
          <w:sz w:val="28"/>
          <w:szCs w:val="28"/>
        </w:rPr>
        <w:t>5</w:t>
      </w:r>
      <w:r w:rsidRPr="00F27879">
        <w:rPr>
          <w:b/>
          <w:sz w:val="28"/>
          <w:szCs w:val="28"/>
        </w:rPr>
        <w:t xml:space="preserve">. </w:t>
      </w:r>
      <w:r>
        <w:rPr>
          <w:b/>
          <w:sz w:val="28"/>
          <w:szCs w:val="28"/>
        </w:rPr>
        <w:t>Conclusions</w:t>
      </w:r>
      <w:r w:rsidRPr="00F27879">
        <w:rPr>
          <w:b/>
          <w:sz w:val="28"/>
          <w:szCs w:val="28"/>
        </w:rPr>
        <w:t xml:space="preserve">  </w:t>
      </w:r>
    </w:p>
    <w:p w:rsidR="009A5371" w:rsidRPr="002144C2" w:rsidRDefault="009A5371" w:rsidP="009A5371">
      <w:pPr>
        <w:jc w:val="both"/>
        <w:rPr>
          <w:rFonts w:ascii="Cambria" w:hAnsi="Cambria"/>
          <w:b/>
          <w:sz w:val="22"/>
          <w:szCs w:val="22"/>
        </w:rPr>
      </w:pPr>
    </w:p>
    <w:p w:rsidR="002144C2" w:rsidRPr="005D33CD" w:rsidRDefault="002144C2" w:rsidP="005D33CD">
      <w:pPr>
        <w:spacing w:line="480" w:lineRule="auto"/>
        <w:jc w:val="both"/>
        <w:rPr>
          <w:rFonts w:ascii="Cambria" w:hAnsi="Cambria"/>
        </w:rPr>
      </w:pPr>
      <w:r w:rsidRPr="005D33CD">
        <w:rPr>
          <w:rFonts w:ascii="Cambria" w:hAnsi="Cambria"/>
        </w:rPr>
        <w:t>There have been substantial differences across local areas in their ability to grow over the last thirty years but our understanding of the factors responsible remains limited.  The new localism agenda (</w:t>
      </w:r>
      <w:r w:rsidR="00BF3D14" w:rsidRPr="005D33CD">
        <w:rPr>
          <w:rFonts w:ascii="Cambria" w:hAnsi="Cambria"/>
        </w:rPr>
        <w:t>BIS</w:t>
      </w:r>
      <w:r w:rsidRPr="005D33CD">
        <w:rPr>
          <w:rFonts w:ascii="Cambria" w:hAnsi="Cambria"/>
        </w:rPr>
        <w:t>, 2010) and the roll-out of Local Enterprise Partnerships across England ha</w:t>
      </w:r>
      <w:r w:rsidR="00154392" w:rsidRPr="005D33CD">
        <w:rPr>
          <w:rFonts w:ascii="Cambria" w:hAnsi="Cambria"/>
        </w:rPr>
        <w:t>ve</w:t>
      </w:r>
      <w:r w:rsidRPr="005D33CD">
        <w:rPr>
          <w:rFonts w:ascii="Cambria" w:hAnsi="Cambria"/>
        </w:rPr>
        <w:t xml:space="preserve"> reinforced the need for more research in this important area. The research presented in this article has investigated the contribution that spatial differences in economic structure has made to the differences in growth observed. It is clear that </w:t>
      </w:r>
      <w:r w:rsidR="00154392" w:rsidRPr="005D33CD">
        <w:rPr>
          <w:rFonts w:ascii="Cambria" w:hAnsi="Cambria"/>
        </w:rPr>
        <w:t>th</w:t>
      </w:r>
      <w:r w:rsidRPr="005D33CD">
        <w:rPr>
          <w:rFonts w:ascii="Cambria" w:hAnsi="Cambria"/>
        </w:rPr>
        <w:t xml:space="preserve">e contribution of economic structure has tended to decline </w:t>
      </w:r>
      <w:r w:rsidR="00154392" w:rsidRPr="005D33CD">
        <w:rPr>
          <w:rFonts w:ascii="Cambria" w:hAnsi="Cambria"/>
        </w:rPr>
        <w:t xml:space="preserve">over </w:t>
      </w:r>
      <w:r w:rsidRPr="005D33CD">
        <w:rPr>
          <w:rFonts w:ascii="Cambria" w:hAnsi="Cambria"/>
        </w:rPr>
        <w:t xml:space="preserve">time and more of the relative difference in growth </w:t>
      </w:r>
      <w:r w:rsidR="00154392" w:rsidRPr="005D33CD">
        <w:rPr>
          <w:rFonts w:ascii="Cambria" w:hAnsi="Cambria"/>
        </w:rPr>
        <w:t xml:space="preserve">between areas is to be found in the </w:t>
      </w:r>
      <w:r w:rsidRPr="005D33CD">
        <w:rPr>
          <w:rFonts w:ascii="Cambria" w:hAnsi="Cambria"/>
        </w:rPr>
        <w:t xml:space="preserve">local </w:t>
      </w:r>
      <w:r w:rsidR="0069435D" w:rsidRPr="005D33CD">
        <w:rPr>
          <w:rFonts w:ascii="Cambria" w:hAnsi="Cambria"/>
        </w:rPr>
        <w:t xml:space="preserve">‘competitiveness’ </w:t>
      </w:r>
      <w:r w:rsidRPr="005D33CD">
        <w:rPr>
          <w:rFonts w:ascii="Cambria" w:hAnsi="Cambria"/>
        </w:rPr>
        <w:t>component</w:t>
      </w:r>
      <w:r w:rsidR="001D3069" w:rsidRPr="005D33CD">
        <w:rPr>
          <w:rFonts w:ascii="Cambria" w:hAnsi="Cambria"/>
        </w:rPr>
        <w:t xml:space="preserve">. </w:t>
      </w:r>
      <w:r w:rsidRPr="005D33CD">
        <w:rPr>
          <w:rFonts w:ascii="Cambria" w:hAnsi="Cambria"/>
        </w:rPr>
        <w:t>There are individual exceptions but this appears to be a</w:t>
      </w:r>
      <w:r w:rsidR="001D3069" w:rsidRPr="005D33CD">
        <w:rPr>
          <w:rFonts w:ascii="Cambria" w:hAnsi="Cambria"/>
        </w:rPr>
        <w:t xml:space="preserve"> fairly robust finding and thus presents the obvious question as to what </w:t>
      </w:r>
      <w:r w:rsidRPr="005D33CD">
        <w:rPr>
          <w:rFonts w:ascii="Cambria" w:hAnsi="Cambria"/>
        </w:rPr>
        <w:t xml:space="preserve">factors are accounting for </w:t>
      </w:r>
      <w:r w:rsidR="001D3069" w:rsidRPr="005D33CD">
        <w:rPr>
          <w:rFonts w:ascii="Cambria" w:hAnsi="Cambria"/>
        </w:rPr>
        <w:t xml:space="preserve">the </w:t>
      </w:r>
      <w:r w:rsidRPr="005D33CD">
        <w:rPr>
          <w:rFonts w:ascii="Cambria" w:hAnsi="Cambria"/>
        </w:rPr>
        <w:t>differences in th</w:t>
      </w:r>
      <w:r w:rsidR="0069435D" w:rsidRPr="005D33CD">
        <w:rPr>
          <w:rFonts w:ascii="Cambria" w:hAnsi="Cambria"/>
        </w:rPr>
        <w:t>is</w:t>
      </w:r>
      <w:r w:rsidRPr="005D33CD">
        <w:rPr>
          <w:rFonts w:ascii="Cambria" w:hAnsi="Cambria"/>
        </w:rPr>
        <w:t xml:space="preserve"> local growth component</w:t>
      </w:r>
      <w:r w:rsidR="001D3069" w:rsidRPr="005D33CD">
        <w:rPr>
          <w:rFonts w:ascii="Cambria" w:hAnsi="Cambria"/>
        </w:rPr>
        <w:t xml:space="preserve"> between areas</w:t>
      </w:r>
      <w:r w:rsidRPr="005D33CD">
        <w:rPr>
          <w:rFonts w:ascii="Cambria" w:hAnsi="Cambria"/>
        </w:rPr>
        <w:t>.</w:t>
      </w:r>
    </w:p>
    <w:p w:rsidR="002144C2" w:rsidRPr="005D33CD" w:rsidRDefault="002144C2" w:rsidP="005D33CD">
      <w:pPr>
        <w:spacing w:line="480" w:lineRule="auto"/>
        <w:jc w:val="both"/>
        <w:rPr>
          <w:rFonts w:ascii="Cambria" w:hAnsi="Cambria"/>
        </w:rPr>
      </w:pPr>
    </w:p>
    <w:p w:rsidR="00E731E8" w:rsidRPr="005D33CD" w:rsidRDefault="002144C2" w:rsidP="005D33CD">
      <w:pPr>
        <w:spacing w:line="480" w:lineRule="auto"/>
        <w:jc w:val="both"/>
        <w:rPr>
          <w:rFonts w:ascii="Cambria" w:hAnsi="Cambria"/>
        </w:rPr>
      </w:pPr>
      <w:r w:rsidRPr="005D33CD">
        <w:rPr>
          <w:rFonts w:ascii="Cambria" w:hAnsi="Cambria"/>
        </w:rPr>
        <w:t>As th</w:t>
      </w:r>
      <w:r w:rsidR="001D3069" w:rsidRPr="005D33CD">
        <w:rPr>
          <w:rFonts w:ascii="Cambria" w:hAnsi="Cambria"/>
        </w:rPr>
        <w:t xml:space="preserve">is </w:t>
      </w:r>
      <w:r w:rsidRPr="005D33CD">
        <w:rPr>
          <w:rFonts w:ascii="Cambria" w:hAnsi="Cambria"/>
        </w:rPr>
        <w:t>article observes there has been an extensive body of research undertaken over the last thirty years</w:t>
      </w:r>
      <w:r w:rsidR="001D3069" w:rsidRPr="005D33CD">
        <w:rPr>
          <w:rFonts w:ascii="Cambria" w:hAnsi="Cambria"/>
        </w:rPr>
        <w:t xml:space="preserve"> that has addressed this question.  It</w:t>
      </w:r>
      <w:r w:rsidR="00E731E8" w:rsidRPr="005D33CD">
        <w:rPr>
          <w:rFonts w:ascii="Cambria" w:hAnsi="Cambria"/>
        </w:rPr>
        <w:t xml:space="preserve"> appears that the </w:t>
      </w:r>
      <w:r w:rsidR="0069435D" w:rsidRPr="005D33CD">
        <w:rPr>
          <w:rFonts w:ascii="Cambria" w:hAnsi="Cambria"/>
        </w:rPr>
        <w:t>‘</w:t>
      </w:r>
      <w:r w:rsidR="00E731E8" w:rsidRPr="005D33CD">
        <w:rPr>
          <w:rFonts w:ascii="Cambria" w:hAnsi="Cambria"/>
        </w:rPr>
        <w:t>urban rural shift</w:t>
      </w:r>
      <w:r w:rsidR="0069435D" w:rsidRPr="005D33CD">
        <w:rPr>
          <w:rFonts w:ascii="Cambria" w:hAnsi="Cambria"/>
        </w:rPr>
        <w:t>’</w:t>
      </w:r>
      <w:r w:rsidR="001D3069" w:rsidRPr="005D33CD">
        <w:rPr>
          <w:rFonts w:ascii="Cambria" w:hAnsi="Cambria"/>
        </w:rPr>
        <w:t>,</w:t>
      </w:r>
      <w:r w:rsidR="00E731E8" w:rsidRPr="005D33CD">
        <w:rPr>
          <w:rFonts w:ascii="Cambria" w:hAnsi="Cambria"/>
        </w:rPr>
        <w:t xml:space="preserve"> so extensively investigated by Fothergill </w:t>
      </w:r>
      <w:r w:rsidR="00E731E8" w:rsidRPr="005D33CD">
        <w:rPr>
          <w:rFonts w:ascii="Cambria" w:hAnsi="Cambria"/>
        </w:rPr>
        <w:lastRenderedPageBreak/>
        <w:t>and Gudgin in their research into unequal growth</w:t>
      </w:r>
      <w:r w:rsidR="001D3069" w:rsidRPr="005D33CD">
        <w:rPr>
          <w:rFonts w:ascii="Cambria" w:hAnsi="Cambria"/>
        </w:rPr>
        <w:t xml:space="preserve"> (Fothergill and Gudgin, 1982)</w:t>
      </w:r>
      <w:r w:rsidR="00E731E8" w:rsidRPr="005D33CD">
        <w:rPr>
          <w:rFonts w:ascii="Cambria" w:hAnsi="Cambria"/>
        </w:rPr>
        <w:t xml:space="preserve"> has continued largely to the present day.  The large English conurbations have continued to experience an adverse local growth contribution relative to the less urban and more rural areas in England. </w:t>
      </w:r>
      <w:r w:rsidR="001D3069" w:rsidRPr="005D33CD">
        <w:rPr>
          <w:rFonts w:ascii="Cambria" w:hAnsi="Cambria"/>
        </w:rPr>
        <w:t xml:space="preserve"> </w:t>
      </w:r>
      <w:r w:rsidR="00E731E8" w:rsidRPr="005D33CD">
        <w:rPr>
          <w:rFonts w:ascii="Cambria" w:hAnsi="Cambria"/>
        </w:rPr>
        <w:t>The b</w:t>
      </w:r>
      <w:r w:rsidR="001D3069" w:rsidRPr="005D33CD">
        <w:rPr>
          <w:rFonts w:ascii="Cambria" w:hAnsi="Cambria"/>
        </w:rPr>
        <w:t>i</w:t>
      </w:r>
      <w:r w:rsidR="00E731E8" w:rsidRPr="005D33CD">
        <w:rPr>
          <w:rFonts w:ascii="Cambria" w:hAnsi="Cambria"/>
        </w:rPr>
        <w:t xml:space="preserve">g exception, and </w:t>
      </w:r>
      <w:r w:rsidR="001D3069" w:rsidRPr="005D33CD">
        <w:rPr>
          <w:rFonts w:ascii="Cambria" w:hAnsi="Cambria"/>
        </w:rPr>
        <w:t xml:space="preserve">a complete reversal of the </w:t>
      </w:r>
      <w:r w:rsidR="00E731E8" w:rsidRPr="005D33CD">
        <w:rPr>
          <w:rFonts w:ascii="Cambria" w:hAnsi="Cambria"/>
        </w:rPr>
        <w:t>position in the 1980s</w:t>
      </w:r>
      <w:r w:rsidR="001D3069" w:rsidRPr="005D33CD">
        <w:rPr>
          <w:rFonts w:ascii="Cambria" w:hAnsi="Cambria"/>
        </w:rPr>
        <w:t>,</w:t>
      </w:r>
      <w:r w:rsidR="00E731E8" w:rsidRPr="005D33CD">
        <w:rPr>
          <w:rFonts w:ascii="Cambria" w:hAnsi="Cambria"/>
        </w:rPr>
        <w:t xml:space="preserve"> is the London conurbation.</w:t>
      </w:r>
    </w:p>
    <w:p w:rsidR="00E731E8" w:rsidRPr="005D33CD" w:rsidRDefault="00E731E8" w:rsidP="005D33CD">
      <w:pPr>
        <w:spacing w:line="480" w:lineRule="auto"/>
        <w:jc w:val="both"/>
        <w:rPr>
          <w:rFonts w:ascii="Cambria" w:hAnsi="Cambria"/>
        </w:rPr>
      </w:pPr>
    </w:p>
    <w:p w:rsidR="00E731E8" w:rsidRPr="005D33CD" w:rsidRDefault="00E731E8" w:rsidP="005D33CD">
      <w:pPr>
        <w:spacing w:line="480" w:lineRule="auto"/>
        <w:jc w:val="both"/>
        <w:rPr>
          <w:rFonts w:ascii="Cambria" w:hAnsi="Cambria"/>
        </w:rPr>
      </w:pPr>
      <w:r w:rsidRPr="005D33CD">
        <w:rPr>
          <w:rFonts w:ascii="Cambria" w:hAnsi="Cambria"/>
        </w:rPr>
        <w:t xml:space="preserve">The evidence presented in this article points firmly to London experiencing a dramatic </w:t>
      </w:r>
      <w:r w:rsidR="001D3069" w:rsidRPr="005D33CD">
        <w:rPr>
          <w:rFonts w:ascii="Cambria" w:hAnsi="Cambria"/>
        </w:rPr>
        <w:t xml:space="preserve">improvement in its </w:t>
      </w:r>
      <w:r w:rsidRPr="005D33CD">
        <w:rPr>
          <w:rFonts w:ascii="Cambria" w:hAnsi="Cambria"/>
        </w:rPr>
        <w:t xml:space="preserve">local growth component in the 1990s, a </w:t>
      </w:r>
      <w:r w:rsidR="007B5290" w:rsidRPr="005D33CD">
        <w:rPr>
          <w:rFonts w:ascii="Cambria" w:hAnsi="Cambria"/>
        </w:rPr>
        <w:t>phenomenon</w:t>
      </w:r>
      <w:r w:rsidRPr="005D33CD">
        <w:rPr>
          <w:rFonts w:ascii="Cambria" w:hAnsi="Cambria"/>
        </w:rPr>
        <w:t xml:space="preserve"> that we have discussed e</w:t>
      </w:r>
      <w:r w:rsidR="001D3069" w:rsidRPr="005D33CD">
        <w:rPr>
          <w:rFonts w:ascii="Cambria" w:hAnsi="Cambria"/>
        </w:rPr>
        <w:t xml:space="preserve">xtensively </w:t>
      </w:r>
      <w:r w:rsidRPr="005D33CD">
        <w:rPr>
          <w:rFonts w:ascii="Cambria" w:hAnsi="Cambria"/>
        </w:rPr>
        <w:t>elsewhere (</w:t>
      </w:r>
      <w:r w:rsidR="001D3069" w:rsidRPr="005D33CD">
        <w:rPr>
          <w:rFonts w:ascii="Cambria" w:hAnsi="Cambria"/>
        </w:rPr>
        <w:t>Gardiner et al, 2013</w:t>
      </w:r>
      <w:r w:rsidR="0069435D" w:rsidRPr="005D33CD">
        <w:rPr>
          <w:rFonts w:ascii="Cambria" w:hAnsi="Cambria"/>
        </w:rPr>
        <w:t>; Martin, 2014</w:t>
      </w:r>
      <w:r w:rsidR="001D3069" w:rsidRPr="005D33CD">
        <w:rPr>
          <w:rFonts w:ascii="Cambria" w:hAnsi="Cambria"/>
        </w:rPr>
        <w:t xml:space="preserve">).  </w:t>
      </w:r>
      <w:r w:rsidRPr="005D33CD">
        <w:rPr>
          <w:rFonts w:ascii="Cambria" w:hAnsi="Cambria"/>
        </w:rPr>
        <w:t xml:space="preserve">Moreover, London’s relative success </w:t>
      </w:r>
      <w:r w:rsidR="001D3069" w:rsidRPr="005D33CD">
        <w:rPr>
          <w:rFonts w:ascii="Cambria" w:hAnsi="Cambria"/>
        </w:rPr>
        <w:t xml:space="preserve">compared to the other major conurbations in England is reinforced by a </w:t>
      </w:r>
      <w:r w:rsidR="002D1537" w:rsidRPr="005D33CD">
        <w:rPr>
          <w:rFonts w:ascii="Cambria" w:hAnsi="Cambria"/>
        </w:rPr>
        <w:t xml:space="preserve">very </w:t>
      </w:r>
      <w:r w:rsidRPr="005D33CD">
        <w:rPr>
          <w:rFonts w:ascii="Cambria" w:hAnsi="Cambria"/>
        </w:rPr>
        <w:t>favourable industrial structure</w:t>
      </w:r>
      <w:r w:rsidR="001D3069" w:rsidRPr="005D33CD">
        <w:rPr>
          <w:rFonts w:ascii="Cambria" w:hAnsi="Cambria"/>
        </w:rPr>
        <w:t xml:space="preserve">. </w:t>
      </w:r>
    </w:p>
    <w:p w:rsidR="001D3069" w:rsidRPr="005D33CD" w:rsidRDefault="001D3069" w:rsidP="005D33CD">
      <w:pPr>
        <w:spacing w:line="480" w:lineRule="auto"/>
        <w:jc w:val="both"/>
        <w:rPr>
          <w:rFonts w:ascii="Cambria" w:hAnsi="Cambria"/>
        </w:rPr>
      </w:pPr>
    </w:p>
    <w:p w:rsidR="00833AD5" w:rsidRPr="005D33CD" w:rsidRDefault="00E731E8" w:rsidP="005D33CD">
      <w:pPr>
        <w:spacing w:line="480" w:lineRule="auto"/>
        <w:jc w:val="both"/>
        <w:rPr>
          <w:rFonts w:ascii="Cambria" w:hAnsi="Cambria"/>
        </w:rPr>
      </w:pPr>
      <w:r w:rsidRPr="005D33CD">
        <w:rPr>
          <w:rFonts w:ascii="Cambria" w:hAnsi="Cambria"/>
        </w:rPr>
        <w:t>The ca</w:t>
      </w:r>
      <w:r w:rsidR="001D3069" w:rsidRPr="005D33CD">
        <w:rPr>
          <w:rFonts w:ascii="Cambria" w:hAnsi="Cambria"/>
        </w:rPr>
        <w:t>uses</w:t>
      </w:r>
      <w:r w:rsidRPr="005D33CD">
        <w:rPr>
          <w:rFonts w:ascii="Cambria" w:hAnsi="Cambria"/>
        </w:rPr>
        <w:t xml:space="preserve"> of the contin</w:t>
      </w:r>
      <w:r w:rsidR="001D3069" w:rsidRPr="005D33CD">
        <w:rPr>
          <w:rFonts w:ascii="Cambria" w:hAnsi="Cambria"/>
        </w:rPr>
        <w:t>u</w:t>
      </w:r>
      <w:r w:rsidRPr="005D33CD">
        <w:rPr>
          <w:rFonts w:ascii="Cambria" w:hAnsi="Cambria"/>
        </w:rPr>
        <w:t xml:space="preserve">ed relative economic decline in the local growth component in the traditional English conurbations are </w:t>
      </w:r>
      <w:r w:rsidR="001D3069" w:rsidRPr="005D33CD">
        <w:rPr>
          <w:rFonts w:ascii="Cambria" w:hAnsi="Cambria"/>
        </w:rPr>
        <w:t xml:space="preserve">clearly </w:t>
      </w:r>
      <w:r w:rsidRPr="005D33CD">
        <w:rPr>
          <w:rFonts w:ascii="Cambria" w:hAnsi="Cambria"/>
        </w:rPr>
        <w:t xml:space="preserve">complex </w:t>
      </w:r>
      <w:r w:rsidR="001D3069" w:rsidRPr="005D33CD">
        <w:rPr>
          <w:rFonts w:ascii="Cambria" w:hAnsi="Cambria"/>
        </w:rPr>
        <w:t>in nature</w:t>
      </w:r>
      <w:r w:rsidR="00BF3D14" w:rsidRPr="005D33CD">
        <w:rPr>
          <w:rFonts w:ascii="Cambria" w:hAnsi="Cambria"/>
        </w:rPr>
        <w:t xml:space="preserve">. </w:t>
      </w:r>
      <w:r w:rsidR="001D3069" w:rsidRPr="005D33CD">
        <w:rPr>
          <w:rFonts w:ascii="Cambria" w:hAnsi="Cambria"/>
        </w:rPr>
        <w:t xml:space="preserve"> </w:t>
      </w:r>
      <w:r w:rsidRPr="005D33CD">
        <w:rPr>
          <w:rFonts w:ascii="Cambria" w:hAnsi="Cambria"/>
        </w:rPr>
        <w:t xml:space="preserve">Moreover, as the </w:t>
      </w:r>
      <w:r w:rsidR="001D3069" w:rsidRPr="005D33CD">
        <w:rPr>
          <w:rFonts w:ascii="Cambria" w:hAnsi="Cambria"/>
        </w:rPr>
        <w:t xml:space="preserve">experience </w:t>
      </w:r>
      <w:r w:rsidRPr="005D33CD">
        <w:rPr>
          <w:rFonts w:ascii="Cambria" w:hAnsi="Cambria"/>
        </w:rPr>
        <w:t xml:space="preserve">of London shows, </w:t>
      </w:r>
      <w:r w:rsidR="001D3069" w:rsidRPr="005D33CD">
        <w:rPr>
          <w:rFonts w:ascii="Cambria" w:hAnsi="Cambria"/>
        </w:rPr>
        <w:t xml:space="preserve">it is possible for </w:t>
      </w:r>
      <w:r w:rsidR="0069435D" w:rsidRPr="005D33CD">
        <w:rPr>
          <w:rFonts w:ascii="Cambria" w:hAnsi="Cambria"/>
        </w:rPr>
        <w:t xml:space="preserve">positive </w:t>
      </w:r>
      <w:r w:rsidR="001D3069" w:rsidRPr="005D33CD">
        <w:rPr>
          <w:rFonts w:ascii="Cambria" w:hAnsi="Cambria"/>
        </w:rPr>
        <w:t>change to occur</w:t>
      </w:r>
      <w:r w:rsidR="0069435D" w:rsidRPr="005D33CD">
        <w:rPr>
          <w:rFonts w:ascii="Cambria" w:hAnsi="Cambria"/>
        </w:rPr>
        <w:t>,</w:t>
      </w:r>
      <w:r w:rsidR="001D3069" w:rsidRPr="005D33CD">
        <w:rPr>
          <w:rFonts w:ascii="Cambria" w:hAnsi="Cambria"/>
        </w:rPr>
        <w:t xml:space="preserve"> sometimes quite rapidly. </w:t>
      </w:r>
      <w:r w:rsidRPr="005D33CD">
        <w:rPr>
          <w:rFonts w:ascii="Cambria" w:hAnsi="Cambria"/>
        </w:rPr>
        <w:t>The relatively poor performance of the large urban areas in the</w:t>
      </w:r>
      <w:r w:rsidR="001D3069" w:rsidRPr="005D33CD">
        <w:rPr>
          <w:rFonts w:ascii="Cambria" w:hAnsi="Cambria"/>
        </w:rPr>
        <w:t>ir</w:t>
      </w:r>
      <w:r w:rsidRPr="005D33CD">
        <w:rPr>
          <w:rFonts w:ascii="Cambria" w:hAnsi="Cambria"/>
        </w:rPr>
        <w:t xml:space="preserve"> local growth component tends to suggest </w:t>
      </w:r>
      <w:r w:rsidR="001D3069" w:rsidRPr="005D33CD">
        <w:rPr>
          <w:rFonts w:ascii="Cambria" w:hAnsi="Cambria"/>
        </w:rPr>
        <w:t>w</w:t>
      </w:r>
      <w:r w:rsidRPr="005D33CD">
        <w:rPr>
          <w:rFonts w:ascii="Cambria" w:hAnsi="Cambria"/>
        </w:rPr>
        <w:t xml:space="preserve">hat whatever the </w:t>
      </w:r>
      <w:r w:rsidR="001D3069" w:rsidRPr="005D33CD">
        <w:rPr>
          <w:rFonts w:ascii="Cambria" w:hAnsi="Cambria"/>
        </w:rPr>
        <w:t xml:space="preserve">positive </w:t>
      </w:r>
      <w:r w:rsidRPr="005D33CD">
        <w:rPr>
          <w:rFonts w:ascii="Cambria" w:hAnsi="Cambria"/>
        </w:rPr>
        <w:t xml:space="preserve">contribution </w:t>
      </w:r>
      <w:r w:rsidR="001D3069" w:rsidRPr="005D33CD">
        <w:rPr>
          <w:rFonts w:ascii="Cambria" w:hAnsi="Cambria"/>
        </w:rPr>
        <w:t xml:space="preserve">to their growth made by </w:t>
      </w:r>
      <w:r w:rsidRPr="005D33CD">
        <w:rPr>
          <w:rFonts w:ascii="Cambria" w:hAnsi="Cambria"/>
        </w:rPr>
        <w:t>agglomeration economies the</w:t>
      </w:r>
      <w:r w:rsidR="001D3069" w:rsidRPr="005D33CD">
        <w:rPr>
          <w:rFonts w:ascii="Cambria" w:hAnsi="Cambria"/>
        </w:rPr>
        <w:t xml:space="preserve">re are other factors that are </w:t>
      </w:r>
      <w:r w:rsidR="00B3525B" w:rsidRPr="005D33CD">
        <w:rPr>
          <w:rFonts w:ascii="Cambria" w:hAnsi="Cambria"/>
        </w:rPr>
        <w:t>still constraining their growth compared to more accessible rural areas across England.  History matters and the</w:t>
      </w:r>
      <w:r w:rsidR="00BF3D14" w:rsidRPr="005D33CD">
        <w:rPr>
          <w:rFonts w:ascii="Cambria" w:hAnsi="Cambria"/>
        </w:rPr>
        <w:t xml:space="preserve">ir problems must </w:t>
      </w:r>
      <w:r w:rsidR="007B5290" w:rsidRPr="005D33CD">
        <w:rPr>
          <w:rFonts w:ascii="Cambria" w:hAnsi="Cambria"/>
        </w:rPr>
        <w:t xml:space="preserve">partly reflect the difficulties they have been </w:t>
      </w:r>
      <w:r w:rsidR="002D1537" w:rsidRPr="005D33CD">
        <w:rPr>
          <w:rFonts w:ascii="Cambria" w:hAnsi="Cambria"/>
        </w:rPr>
        <w:t xml:space="preserve">facing adjusting their resource base </w:t>
      </w:r>
      <w:r w:rsidR="00873108" w:rsidRPr="005D33CD">
        <w:rPr>
          <w:rFonts w:ascii="Cambria" w:hAnsi="Cambria"/>
        </w:rPr>
        <w:t xml:space="preserve">from </w:t>
      </w:r>
      <w:r w:rsidR="002D1537" w:rsidRPr="005D33CD">
        <w:rPr>
          <w:rFonts w:ascii="Cambria" w:hAnsi="Cambria"/>
        </w:rPr>
        <w:t>its predominantly</w:t>
      </w:r>
      <w:r w:rsidR="00B3525B" w:rsidRPr="005D33CD">
        <w:rPr>
          <w:rFonts w:ascii="Cambria" w:hAnsi="Cambria"/>
        </w:rPr>
        <w:t xml:space="preserve"> </w:t>
      </w:r>
      <w:r w:rsidR="00873108" w:rsidRPr="005D33CD">
        <w:rPr>
          <w:rFonts w:ascii="Cambria" w:hAnsi="Cambria"/>
        </w:rPr>
        <w:lastRenderedPageBreak/>
        <w:t>industrial past</w:t>
      </w:r>
      <w:r w:rsidR="007B5290" w:rsidRPr="005D33CD">
        <w:rPr>
          <w:rFonts w:ascii="Cambria" w:hAnsi="Cambria"/>
        </w:rPr>
        <w:t>.  London has been able to adjust relatively more quickly in this respect aided by the growth of its financial and business services sector</w:t>
      </w:r>
      <w:r w:rsidR="0069435D" w:rsidRPr="005D33CD">
        <w:rPr>
          <w:rFonts w:ascii="Cambria" w:hAnsi="Cambria"/>
        </w:rPr>
        <w:t>, and by a host of other advantages the city enjoys compared to ot</w:t>
      </w:r>
      <w:r w:rsidR="00833AD5" w:rsidRPr="005D33CD">
        <w:rPr>
          <w:rFonts w:ascii="Cambria" w:hAnsi="Cambria"/>
        </w:rPr>
        <w:t>her parts of Bri</w:t>
      </w:r>
      <w:r w:rsidR="0069435D" w:rsidRPr="005D33CD">
        <w:rPr>
          <w:rFonts w:ascii="Cambria" w:hAnsi="Cambria"/>
        </w:rPr>
        <w:t>t</w:t>
      </w:r>
      <w:r w:rsidR="00833AD5" w:rsidRPr="005D33CD">
        <w:rPr>
          <w:rFonts w:ascii="Cambria" w:hAnsi="Cambria"/>
        </w:rPr>
        <w:t>a</w:t>
      </w:r>
      <w:r w:rsidR="0069435D" w:rsidRPr="005D33CD">
        <w:rPr>
          <w:rFonts w:ascii="Cambria" w:hAnsi="Cambria"/>
        </w:rPr>
        <w:t xml:space="preserve">in (including easier access to finance, a much higher per capita expenditure on infrastructure, </w:t>
      </w:r>
      <w:r w:rsidR="00833AD5" w:rsidRPr="005D33CD">
        <w:rPr>
          <w:rFonts w:ascii="Cambria" w:hAnsi="Cambria"/>
        </w:rPr>
        <w:t>a high</w:t>
      </w:r>
      <w:r w:rsidR="00CB7410" w:rsidRPr="005D33CD">
        <w:rPr>
          <w:rFonts w:ascii="Cambria" w:hAnsi="Cambria"/>
        </w:rPr>
        <w:t>e</w:t>
      </w:r>
      <w:r w:rsidR="00833AD5" w:rsidRPr="005D33CD">
        <w:rPr>
          <w:rFonts w:ascii="Cambria" w:hAnsi="Cambria"/>
        </w:rPr>
        <w:t xml:space="preserve">r degree of </w:t>
      </w:r>
      <w:r w:rsidR="0069435D" w:rsidRPr="005D33CD">
        <w:rPr>
          <w:rFonts w:ascii="Cambria" w:hAnsi="Cambria"/>
        </w:rPr>
        <w:t xml:space="preserve">political influence on </w:t>
      </w:r>
      <w:r w:rsidR="00833AD5" w:rsidRPr="005D33CD">
        <w:rPr>
          <w:rFonts w:ascii="Cambria" w:hAnsi="Cambria"/>
        </w:rPr>
        <w:t>and support from central Government, to name but some)</w:t>
      </w:r>
      <w:r w:rsidR="007B5290" w:rsidRPr="005D33CD">
        <w:rPr>
          <w:rFonts w:ascii="Cambria" w:hAnsi="Cambria"/>
        </w:rPr>
        <w:t xml:space="preserve">. </w:t>
      </w:r>
    </w:p>
    <w:p w:rsidR="00873108" w:rsidRPr="005D33CD" w:rsidRDefault="00873108" w:rsidP="005D33CD">
      <w:pPr>
        <w:spacing w:line="480" w:lineRule="auto"/>
        <w:jc w:val="both"/>
        <w:rPr>
          <w:rFonts w:ascii="Cambria" w:hAnsi="Cambria"/>
        </w:rPr>
      </w:pPr>
    </w:p>
    <w:p w:rsidR="00CB7410" w:rsidRPr="005D33CD" w:rsidRDefault="00873108" w:rsidP="005D33CD">
      <w:pPr>
        <w:spacing w:line="480" w:lineRule="auto"/>
        <w:jc w:val="both"/>
        <w:rPr>
          <w:rFonts w:ascii="Cambria" w:hAnsi="Cambria"/>
        </w:rPr>
      </w:pPr>
      <w:r w:rsidRPr="005D33CD">
        <w:rPr>
          <w:rFonts w:ascii="Cambria" w:hAnsi="Cambria"/>
        </w:rPr>
        <w:t xml:space="preserve">What is clear from the research presented in this </w:t>
      </w:r>
      <w:r w:rsidR="00833AD5" w:rsidRPr="005D33CD">
        <w:rPr>
          <w:rFonts w:ascii="Cambria" w:hAnsi="Cambria"/>
        </w:rPr>
        <w:t xml:space="preserve">short </w:t>
      </w:r>
      <w:r w:rsidRPr="005D33CD">
        <w:rPr>
          <w:rFonts w:ascii="Cambria" w:hAnsi="Cambria"/>
        </w:rPr>
        <w:t xml:space="preserve">article is that the challenge to bring about local economic growth varies considerably across the LEPS of England and this should be reflected in how HM Government allocates whatever resources it makes available. </w:t>
      </w:r>
      <w:r w:rsidR="00B3525B" w:rsidRPr="005D33CD">
        <w:rPr>
          <w:rFonts w:ascii="Cambria" w:hAnsi="Cambria"/>
        </w:rPr>
        <w:t xml:space="preserve"> </w:t>
      </w:r>
      <w:r w:rsidRPr="005D33CD">
        <w:rPr>
          <w:rFonts w:ascii="Cambria" w:hAnsi="Cambria"/>
        </w:rPr>
        <w:t>The position of the English large conurbations other than London is a particular source of concern.</w:t>
      </w:r>
      <w:r w:rsidR="00CB7410" w:rsidRPr="005D33CD">
        <w:rPr>
          <w:rFonts w:ascii="Cambria" w:hAnsi="Cambria"/>
        </w:rPr>
        <w:t xml:space="preserve">  The priority for policy development is to move </w:t>
      </w:r>
      <w:r w:rsidR="00414888" w:rsidRPr="005D33CD">
        <w:rPr>
          <w:rFonts w:ascii="Cambria" w:hAnsi="Cambria"/>
        </w:rPr>
        <w:t>away</w:t>
      </w:r>
      <w:r w:rsidR="00CB7410" w:rsidRPr="005D33CD">
        <w:rPr>
          <w:rFonts w:ascii="Cambria" w:hAnsi="Cambria"/>
        </w:rPr>
        <w:t xml:space="preserve"> from the temptation to rely on simple recipes such as industrial mix or agglomeration and city size, and to better understand the causes of local competitiveness effects with the goal of introducing measures that stimulate and raise these effects</w:t>
      </w:r>
      <w:r w:rsidR="002D1537" w:rsidRPr="005D33CD">
        <w:rPr>
          <w:rFonts w:ascii="Cambria" w:hAnsi="Cambria"/>
        </w:rPr>
        <w:t>, particularly</w:t>
      </w:r>
      <w:r w:rsidR="00CB7410" w:rsidRPr="005D33CD">
        <w:rPr>
          <w:rFonts w:ascii="Cambria" w:hAnsi="Cambria"/>
        </w:rPr>
        <w:t xml:space="preserve"> in large urban areas outside of London. </w:t>
      </w:r>
    </w:p>
    <w:p w:rsidR="00873108" w:rsidRDefault="00873108" w:rsidP="00154392">
      <w:pPr>
        <w:spacing w:line="276" w:lineRule="auto"/>
        <w:jc w:val="both"/>
        <w:rPr>
          <w:rFonts w:ascii="Cambria" w:hAnsi="Cambria"/>
          <w:sz w:val="22"/>
          <w:szCs w:val="22"/>
        </w:rPr>
      </w:pPr>
    </w:p>
    <w:p w:rsidR="00C10F3B" w:rsidRPr="003A3391" w:rsidRDefault="004A7072" w:rsidP="00595BCF">
      <w:pPr>
        <w:jc w:val="both"/>
        <w:rPr>
          <w:b/>
          <w:sz w:val="28"/>
          <w:szCs w:val="28"/>
        </w:rPr>
      </w:pPr>
      <w:r w:rsidRPr="005946AB">
        <w:br w:type="page"/>
      </w:r>
      <w:r w:rsidR="00414888" w:rsidRPr="003A3391">
        <w:rPr>
          <w:b/>
          <w:sz w:val="28"/>
          <w:szCs w:val="28"/>
        </w:rPr>
        <w:lastRenderedPageBreak/>
        <w:t>References</w:t>
      </w:r>
      <w:r w:rsidR="00414888">
        <w:rPr>
          <w:b/>
          <w:sz w:val="28"/>
          <w:szCs w:val="28"/>
        </w:rPr>
        <w:t xml:space="preserve"> </w:t>
      </w:r>
    </w:p>
    <w:p w:rsidR="00B3525B" w:rsidRDefault="00B3525B" w:rsidP="007D53E1">
      <w:pPr>
        <w:jc w:val="both"/>
        <w:rPr>
          <w:rFonts w:cs="Calibri"/>
          <w:sz w:val="22"/>
          <w:szCs w:val="22"/>
        </w:rPr>
      </w:pPr>
    </w:p>
    <w:p w:rsidR="005866C4" w:rsidRPr="005D33CD" w:rsidRDefault="005866C4" w:rsidP="007D53E1">
      <w:pPr>
        <w:jc w:val="both"/>
        <w:rPr>
          <w:rFonts w:cs="Arial"/>
        </w:rPr>
      </w:pPr>
      <w:r w:rsidRPr="005D33CD">
        <w:t>Barlow</w:t>
      </w:r>
      <w:r w:rsidR="007D53E1" w:rsidRPr="005D33CD">
        <w:t xml:space="preserve"> Commission (1940) Report of the Royal Commission on the Distribution of the Industrial Population (Cmnd 6153), London: HMSO. </w:t>
      </w:r>
    </w:p>
    <w:p w:rsidR="00D53DC5" w:rsidRPr="005D33CD" w:rsidRDefault="00D53DC5" w:rsidP="007D53E1">
      <w:pPr>
        <w:jc w:val="both"/>
        <w:rPr>
          <w:rFonts w:cs="Helvetica"/>
        </w:rPr>
      </w:pPr>
    </w:p>
    <w:p w:rsidR="005866C4" w:rsidRPr="005D33CD" w:rsidRDefault="005866C4" w:rsidP="007D53E1">
      <w:pPr>
        <w:jc w:val="both"/>
        <w:rPr>
          <w:rFonts w:cs="Helvetica"/>
        </w:rPr>
      </w:pPr>
      <w:r w:rsidRPr="005D33CD">
        <w:rPr>
          <w:rFonts w:cs="Helvetica"/>
        </w:rPr>
        <w:t>Blanchard, O and Katz, L (1992) Regional Evolutions, Brookings Papers on Economic Affairs, 1, pp.  1-61.</w:t>
      </w:r>
    </w:p>
    <w:p w:rsidR="00D53DC5" w:rsidRPr="005D33CD" w:rsidRDefault="00D53DC5" w:rsidP="007D53E1">
      <w:pPr>
        <w:jc w:val="both"/>
        <w:rPr>
          <w:rFonts w:cs="Helvetica"/>
        </w:rPr>
      </w:pPr>
    </w:p>
    <w:p w:rsidR="005866C4" w:rsidRPr="005D33CD" w:rsidRDefault="005866C4" w:rsidP="007D53E1">
      <w:pPr>
        <w:jc w:val="both"/>
        <w:rPr>
          <w:rFonts w:cs="Helvetica"/>
        </w:rPr>
      </w:pPr>
      <w:r w:rsidRPr="005D33CD">
        <w:rPr>
          <w:rFonts w:cs="Helvetica"/>
        </w:rPr>
        <w:t>Department for Business Innovation and Skills (2010). Local Growth: Realising Every Place’s Potential, White Paper Cm 7961, TSO, Belfast.</w:t>
      </w:r>
    </w:p>
    <w:p w:rsidR="005866C4" w:rsidRPr="005D33CD" w:rsidRDefault="005866C4" w:rsidP="007D53E1">
      <w:pPr>
        <w:jc w:val="both"/>
        <w:rPr>
          <w:rFonts w:cs="Helvetica"/>
        </w:rPr>
      </w:pPr>
    </w:p>
    <w:p w:rsidR="005866C4" w:rsidRPr="005D33CD" w:rsidRDefault="005866C4" w:rsidP="007D53E1">
      <w:pPr>
        <w:jc w:val="both"/>
      </w:pPr>
      <w:r w:rsidRPr="005D33CD">
        <w:t>Department of Transport, (2012)</w:t>
      </w:r>
      <w:r w:rsidR="00455502" w:rsidRPr="005D33CD">
        <w:t xml:space="preserve"> Job Density, Product</w:t>
      </w:r>
      <w:r w:rsidR="001067F7" w:rsidRPr="005D33CD">
        <w:t>ivity and the Role of Transport.</w:t>
      </w:r>
    </w:p>
    <w:p w:rsidR="005866C4" w:rsidRPr="005D33CD" w:rsidRDefault="005866C4" w:rsidP="007D53E1">
      <w:pPr>
        <w:jc w:val="both"/>
      </w:pPr>
    </w:p>
    <w:p w:rsidR="005866C4" w:rsidRPr="005D33CD" w:rsidRDefault="005866C4" w:rsidP="007D53E1">
      <w:pPr>
        <w:jc w:val="both"/>
        <w:rPr>
          <w:rFonts w:cs="Arial"/>
        </w:rPr>
      </w:pPr>
      <w:r w:rsidRPr="005D33CD">
        <w:t>D</w:t>
      </w:r>
      <w:r w:rsidR="00455502" w:rsidRPr="005D33CD">
        <w:t>epartment for Transport (</w:t>
      </w:r>
      <w:r w:rsidRPr="005D33CD">
        <w:t>2005</w:t>
      </w:r>
      <w:r w:rsidR="00455502" w:rsidRPr="005D33CD">
        <w:t>) Transport, wider Economic Benefits and Impacts on GDP. Discussion Paper.</w:t>
      </w:r>
    </w:p>
    <w:p w:rsidR="005866C4" w:rsidRPr="005D33CD" w:rsidRDefault="005866C4" w:rsidP="007D53E1">
      <w:pPr>
        <w:jc w:val="both"/>
        <w:rPr>
          <w:rFonts w:cs="Helvetica"/>
          <w:color w:val="000000" w:themeColor="text1"/>
        </w:rPr>
      </w:pPr>
    </w:p>
    <w:p w:rsidR="005866C4" w:rsidRPr="005D33CD" w:rsidRDefault="005866C4" w:rsidP="007D53E1">
      <w:pPr>
        <w:jc w:val="both"/>
        <w:rPr>
          <w:rFonts w:cs="Helvetica"/>
        </w:rPr>
      </w:pPr>
      <w:r w:rsidRPr="005D33CD">
        <w:rPr>
          <w:rFonts w:cs="Helvetica"/>
        </w:rPr>
        <w:t>Fothergill, S. and Gudgin, G. (1982) Unequal Growth: Urban and Regional Employment in the United Kingdom, London: Heinemann.</w:t>
      </w:r>
    </w:p>
    <w:p w:rsidR="00E5444D" w:rsidRPr="005D33CD" w:rsidRDefault="00E5444D" w:rsidP="007D53E1">
      <w:pPr>
        <w:jc w:val="both"/>
        <w:rPr>
          <w:rFonts w:cs="Helvetica"/>
        </w:rPr>
      </w:pPr>
    </w:p>
    <w:p w:rsidR="00E5444D" w:rsidRPr="005D33CD" w:rsidRDefault="00E5444D" w:rsidP="00E5444D">
      <w:pPr>
        <w:pStyle w:val="NormalBold"/>
        <w:rPr>
          <w:sz w:val="24"/>
          <w:szCs w:val="24"/>
        </w:rPr>
      </w:pPr>
      <w:r w:rsidRPr="005D33CD">
        <w:rPr>
          <w:sz w:val="24"/>
          <w:szCs w:val="24"/>
        </w:rPr>
        <w:t xml:space="preserve">Fujita, M., Kruman, P. and Venables, A. (1999) The Spatial Economy: Cities, Regions and International Trade. </w:t>
      </w:r>
    </w:p>
    <w:p w:rsidR="00E5444D" w:rsidRPr="005D33CD" w:rsidRDefault="00E5444D" w:rsidP="00E5444D">
      <w:pPr>
        <w:rPr>
          <w:lang w:val="en-GB"/>
        </w:rPr>
      </w:pPr>
    </w:p>
    <w:p w:rsidR="00E5444D" w:rsidRPr="005D33CD" w:rsidRDefault="00233317" w:rsidP="00E5444D">
      <w:pPr>
        <w:pStyle w:val="NormalBold"/>
        <w:rPr>
          <w:color w:val="000000" w:themeColor="text1"/>
          <w:sz w:val="24"/>
          <w:szCs w:val="24"/>
        </w:rPr>
      </w:pPr>
      <w:r w:rsidRPr="005D33CD">
        <w:rPr>
          <w:sz w:val="24"/>
          <w:szCs w:val="24"/>
        </w:rPr>
        <w:t xml:space="preserve">Fujita, M. and Thisse, J.F. </w:t>
      </w:r>
      <w:r w:rsidR="00E5444D" w:rsidRPr="005D33CD">
        <w:rPr>
          <w:sz w:val="24"/>
          <w:szCs w:val="24"/>
        </w:rPr>
        <w:t>(2002) Economics of Agglomeration: Cities, Industrial Location and Regional Growth.</w:t>
      </w:r>
    </w:p>
    <w:p w:rsidR="00E5444D" w:rsidRPr="005D33CD" w:rsidRDefault="00E5444D" w:rsidP="007D53E1">
      <w:pPr>
        <w:jc w:val="both"/>
        <w:rPr>
          <w:rFonts w:cs="Helvetica"/>
        </w:rPr>
      </w:pPr>
    </w:p>
    <w:p w:rsidR="005866C4" w:rsidRPr="005D33CD" w:rsidRDefault="005866C4" w:rsidP="007D53E1">
      <w:pPr>
        <w:jc w:val="both"/>
        <w:rPr>
          <w:rFonts w:cs="Arial"/>
        </w:rPr>
      </w:pPr>
      <w:r w:rsidRPr="005D33CD">
        <w:rPr>
          <w:rFonts w:cs="Helvetica"/>
        </w:rPr>
        <w:t xml:space="preserve">Gardiner, B, Martin, R and Tyler, P (2011) </w:t>
      </w:r>
      <w:r w:rsidRPr="005D33CD">
        <w:rPr>
          <w:rFonts w:cs="Arial"/>
        </w:rPr>
        <w:t>Does Spatial Agglomeration Increase National Growth? Journal of Economic Geography</w:t>
      </w:r>
      <w:r w:rsidRPr="005D33CD">
        <w:rPr>
          <w:rFonts w:cs="Arial"/>
          <w:i/>
        </w:rPr>
        <w:t xml:space="preserve">, </w:t>
      </w:r>
      <w:r w:rsidRPr="005D33CD">
        <w:rPr>
          <w:rFonts w:cs="Arial"/>
        </w:rPr>
        <w:t>pp. 979-1006.</w:t>
      </w:r>
    </w:p>
    <w:p w:rsidR="00455502" w:rsidRPr="005D33CD" w:rsidRDefault="00455502" w:rsidP="007D53E1">
      <w:pPr>
        <w:jc w:val="both"/>
        <w:rPr>
          <w:rFonts w:cs="Arial"/>
        </w:rPr>
      </w:pPr>
    </w:p>
    <w:p w:rsidR="00455502" w:rsidRPr="005D33CD" w:rsidRDefault="00455502" w:rsidP="007D53E1">
      <w:pPr>
        <w:jc w:val="both"/>
        <w:rPr>
          <w:rFonts w:cs="Arial"/>
        </w:rPr>
      </w:pPr>
      <w:r w:rsidRPr="005D33CD">
        <w:rPr>
          <w:rFonts w:cs="Arial"/>
        </w:rPr>
        <w:t xml:space="preserve">Gardiner, B, Martin, R, Sunley, P and Tyler, P. (2013) Spatially Unbalanced Growth in the British Economy. Journal of Economic Geography. </w:t>
      </w:r>
    </w:p>
    <w:p w:rsidR="00E5444D" w:rsidRPr="005D33CD" w:rsidRDefault="00E5444D" w:rsidP="007D53E1">
      <w:pPr>
        <w:jc w:val="both"/>
        <w:rPr>
          <w:rFonts w:cs="Arial"/>
        </w:rPr>
      </w:pPr>
    </w:p>
    <w:p w:rsidR="008B24C6" w:rsidRPr="005D33CD" w:rsidRDefault="008B24C6" w:rsidP="007D53E1">
      <w:pPr>
        <w:jc w:val="both"/>
        <w:rPr>
          <w:rFonts w:cs="Arial"/>
        </w:rPr>
      </w:pPr>
      <w:r w:rsidRPr="005D33CD">
        <w:rPr>
          <w:rFonts w:cs="Arial"/>
        </w:rPr>
        <w:t>Harris, R and Moffat, J. (2012).  Is Productivity Higher in British Cities? Journal of Regional Science, Volume 52, Issue 5.</w:t>
      </w:r>
    </w:p>
    <w:p w:rsidR="008B24C6" w:rsidRPr="005D33CD" w:rsidRDefault="008B24C6" w:rsidP="007D53E1">
      <w:pPr>
        <w:jc w:val="both"/>
        <w:rPr>
          <w:rFonts w:cs="Arial"/>
        </w:rPr>
      </w:pPr>
    </w:p>
    <w:p w:rsidR="00E5444D" w:rsidRPr="005D33CD" w:rsidRDefault="00E5444D" w:rsidP="007D53E1">
      <w:pPr>
        <w:jc w:val="both"/>
        <w:rPr>
          <w:rFonts w:cs="Arial"/>
        </w:rPr>
      </w:pPr>
      <w:r w:rsidRPr="005D33CD">
        <w:rPr>
          <w:rFonts w:cs="Arial"/>
        </w:rPr>
        <w:t>Harris, R and Moffat, J. Total Factor Productivity in Local Enterprise Partnership regions, 1997-2008. Regional Studies (2013).</w:t>
      </w:r>
    </w:p>
    <w:p w:rsidR="005866C4" w:rsidRPr="005D33CD" w:rsidRDefault="005866C4" w:rsidP="007D53E1">
      <w:pPr>
        <w:jc w:val="both"/>
        <w:rPr>
          <w:rFonts w:cs="Helvetica"/>
        </w:rPr>
      </w:pPr>
    </w:p>
    <w:p w:rsidR="005866C4" w:rsidRPr="005D33CD" w:rsidRDefault="005866C4" w:rsidP="007D53E1">
      <w:pPr>
        <w:jc w:val="both"/>
      </w:pPr>
      <w:r w:rsidRPr="005D33CD">
        <w:t>Keeble</w:t>
      </w:r>
      <w:r w:rsidR="00455502" w:rsidRPr="005D33CD">
        <w:t>, D</w:t>
      </w:r>
      <w:r w:rsidRPr="005D33CD">
        <w:t xml:space="preserve"> and Tyler</w:t>
      </w:r>
      <w:r w:rsidR="00455502" w:rsidRPr="005D33CD">
        <w:t>, P</w:t>
      </w:r>
      <w:r w:rsidRPr="005D33CD">
        <w:t xml:space="preserve"> (1995)</w:t>
      </w:r>
      <w:r w:rsidR="00455502" w:rsidRPr="005D33CD">
        <w:rPr>
          <w:rFonts w:ascii="Arial" w:hAnsi="Arial" w:cs="Arial"/>
          <w:spacing w:val="-2"/>
        </w:rPr>
        <w:t xml:space="preserve"> </w:t>
      </w:r>
      <w:r w:rsidR="00455502" w:rsidRPr="005D33CD">
        <w:rPr>
          <w:rFonts w:eastAsia="Cambria" w:cs="Arial"/>
          <w:spacing w:val="-2"/>
        </w:rPr>
        <w:t xml:space="preserve">Enterprising Behaviour and the Urban-Rural Shift. </w:t>
      </w:r>
      <w:r w:rsidR="00455502" w:rsidRPr="005D33CD">
        <w:rPr>
          <w:rFonts w:eastAsia="Cambria" w:cs="Arial"/>
          <w:bCs/>
          <w:spacing w:val="-2"/>
        </w:rPr>
        <w:t>Urban Studies</w:t>
      </w:r>
      <w:r w:rsidR="00455502" w:rsidRPr="005D33CD">
        <w:rPr>
          <w:rFonts w:ascii="Arial" w:eastAsia="Cambria" w:hAnsi="Arial" w:cs="Arial"/>
          <w:spacing w:val="-2"/>
        </w:rPr>
        <w:t xml:space="preserve"> </w:t>
      </w:r>
    </w:p>
    <w:p w:rsidR="005866C4" w:rsidRPr="005D33CD" w:rsidRDefault="005866C4" w:rsidP="007D53E1">
      <w:pPr>
        <w:jc w:val="both"/>
        <w:rPr>
          <w:rFonts w:cs="Helvetica"/>
        </w:rPr>
      </w:pPr>
    </w:p>
    <w:p w:rsidR="005866C4" w:rsidRPr="005D33CD" w:rsidRDefault="005866C4" w:rsidP="007D53E1">
      <w:pPr>
        <w:jc w:val="both"/>
      </w:pPr>
      <w:r w:rsidRPr="005D33CD">
        <w:rPr>
          <w:rFonts w:cs="Helvetica"/>
        </w:rPr>
        <w:t xml:space="preserve">Kitson, M., Martin, R.L. and Tyler, P. (2004) Regional Competitiveness: An Elusive yet Key Concept? Regional Studies, </w:t>
      </w:r>
      <w:r w:rsidRPr="005D33CD">
        <w:t>38, pp. 991-999</w:t>
      </w:r>
      <w:r w:rsidR="004E19EA" w:rsidRPr="005D33CD">
        <w:t>.</w:t>
      </w:r>
      <w:r w:rsidRPr="005D33CD">
        <w:t>Mahoney</w:t>
      </w:r>
      <w:r w:rsidR="001067F7" w:rsidRPr="005D33CD">
        <w:t>, T</w:t>
      </w:r>
      <w:r w:rsidRPr="005D33CD">
        <w:t xml:space="preserve"> (2013)</w:t>
      </w:r>
      <w:r w:rsidR="00455502" w:rsidRPr="005D33CD">
        <w:t>. Births and Deaths of Enterprises in Local Enterprise Partnerships, 2-04-11. ONS.</w:t>
      </w:r>
    </w:p>
    <w:p w:rsidR="005866C4" w:rsidRPr="005D33CD" w:rsidRDefault="005866C4" w:rsidP="007D53E1">
      <w:pPr>
        <w:jc w:val="both"/>
      </w:pPr>
    </w:p>
    <w:p w:rsidR="00BB0376" w:rsidRPr="005D33CD" w:rsidRDefault="00833AD5" w:rsidP="007D53E1">
      <w:pPr>
        <w:jc w:val="both"/>
      </w:pPr>
      <w:r w:rsidRPr="005D33CD">
        <w:t xml:space="preserve">Martin, R.L (2014) London’s Economy: From Resurgence to Recession to Rebalancing, in Tewdwr-Jones, M., Phelps, N. and Freestone, R. (Eds) The </w:t>
      </w:r>
      <w:r w:rsidRPr="005D33CD">
        <w:lastRenderedPageBreak/>
        <w:t>Planning Imagination: Peter Hall and the Study of Regional and Urban Planning, London: Routledge, pp. 67-84.</w:t>
      </w:r>
    </w:p>
    <w:p w:rsidR="00BB0376" w:rsidRPr="005D33CD" w:rsidRDefault="00BB0376" w:rsidP="007D53E1">
      <w:pPr>
        <w:jc w:val="both"/>
      </w:pPr>
    </w:p>
    <w:p w:rsidR="005866C4" w:rsidRPr="005D33CD" w:rsidRDefault="005866C4" w:rsidP="007D53E1">
      <w:pPr>
        <w:jc w:val="both"/>
      </w:pPr>
      <w:r w:rsidRPr="005D33CD">
        <w:t>Massey</w:t>
      </w:r>
      <w:r w:rsidR="001067F7" w:rsidRPr="005D33CD">
        <w:t>, D</w:t>
      </w:r>
      <w:r w:rsidRPr="005D33CD">
        <w:t xml:space="preserve"> and Meegan,</w:t>
      </w:r>
      <w:r w:rsidR="001067F7" w:rsidRPr="005D33CD">
        <w:t xml:space="preserve"> R</w:t>
      </w:r>
      <w:r w:rsidRPr="005D33CD">
        <w:t xml:space="preserve"> </w:t>
      </w:r>
      <w:r w:rsidR="001067F7" w:rsidRPr="005D33CD">
        <w:t>(</w:t>
      </w:r>
      <w:r w:rsidRPr="005D33CD">
        <w:t>19</w:t>
      </w:r>
      <w:r w:rsidR="001067F7" w:rsidRPr="005D33CD">
        <w:t>78) ‘Industrial Restructuring versus the Cities’. Urban Studies, 15, pp.273-88.</w:t>
      </w:r>
    </w:p>
    <w:p w:rsidR="005866C4" w:rsidRPr="005D33CD" w:rsidRDefault="005866C4" w:rsidP="007D53E1">
      <w:pPr>
        <w:jc w:val="both"/>
        <w:rPr>
          <w:rFonts w:cstheme="minorHAnsi"/>
        </w:rPr>
      </w:pPr>
    </w:p>
    <w:p w:rsidR="005866C4" w:rsidRPr="005D33CD" w:rsidRDefault="005866C4" w:rsidP="007D53E1">
      <w:pPr>
        <w:jc w:val="both"/>
      </w:pPr>
      <w:r w:rsidRPr="005D33CD">
        <w:rPr>
          <w:rFonts w:cstheme="minorHAnsi"/>
        </w:rPr>
        <w:t>Melo, Graham and Noland (2008)</w:t>
      </w:r>
      <w:r w:rsidR="007D53E1" w:rsidRPr="005D33CD">
        <w:rPr>
          <w:rFonts w:cstheme="minorHAnsi"/>
        </w:rPr>
        <w:t>. A Meta-analysis of Estimates of Urban Agglomeration Economies. Regional Science and Urban Economics 30 pp 332-342.</w:t>
      </w:r>
    </w:p>
    <w:p w:rsidR="005866C4" w:rsidRPr="005D33CD" w:rsidRDefault="005866C4" w:rsidP="007D53E1">
      <w:pPr>
        <w:jc w:val="both"/>
      </w:pPr>
    </w:p>
    <w:p w:rsidR="005866C4" w:rsidRPr="005D33CD" w:rsidRDefault="004E19EA" w:rsidP="007D53E1">
      <w:pPr>
        <w:jc w:val="both"/>
        <w:rPr>
          <w:rFonts w:cs="Arial"/>
          <w:spacing w:val="-2"/>
        </w:rPr>
      </w:pPr>
      <w:r w:rsidRPr="005D33CD">
        <w:t>Moore, B., Rhodes, J and Tyler, P (1986).</w:t>
      </w:r>
      <w:r w:rsidRPr="005D33CD">
        <w:rPr>
          <w:b/>
        </w:rPr>
        <w:t xml:space="preserve"> </w:t>
      </w:r>
      <w:r w:rsidRPr="005D33CD">
        <w:rPr>
          <w:rFonts w:cs="Arial"/>
          <w:spacing w:val="-2"/>
        </w:rPr>
        <w:t xml:space="preserve">The Effects of Government Regional Policy London: </w:t>
      </w:r>
      <w:r w:rsidRPr="005D33CD">
        <w:rPr>
          <w:rFonts w:cs="Arial"/>
          <w:bCs/>
          <w:spacing w:val="-2"/>
        </w:rPr>
        <w:t>HMSO</w:t>
      </w:r>
      <w:r w:rsidRPr="005D33CD">
        <w:rPr>
          <w:rFonts w:cs="Arial"/>
          <w:spacing w:val="-2"/>
        </w:rPr>
        <w:t>.</w:t>
      </w:r>
    </w:p>
    <w:p w:rsidR="00BF3D14" w:rsidRPr="005D33CD" w:rsidRDefault="00BF3D14" w:rsidP="007D53E1">
      <w:pPr>
        <w:jc w:val="both"/>
        <w:rPr>
          <w:rFonts w:cs="Arial"/>
          <w:spacing w:val="-2"/>
        </w:rPr>
      </w:pPr>
    </w:p>
    <w:p w:rsidR="0031173F" w:rsidRPr="005D33CD" w:rsidRDefault="0031173F" w:rsidP="007D53E1">
      <w:pPr>
        <w:jc w:val="both"/>
        <w:rPr>
          <w:rFonts w:cs="Arial"/>
          <w:spacing w:val="-2"/>
        </w:rPr>
      </w:pPr>
      <w:r w:rsidRPr="005D33CD">
        <w:rPr>
          <w:rFonts w:cs="Arial"/>
          <w:spacing w:val="-2"/>
        </w:rPr>
        <w:t xml:space="preserve">Moore, B, Rhodes, J and Tyler, P (1982) Urban/Rural Shift and the Evaluation of Regional Policy.  </w:t>
      </w:r>
      <w:r w:rsidRPr="005D33CD">
        <w:rPr>
          <w:rFonts w:cs="Arial"/>
          <w:bCs/>
          <w:spacing w:val="-2"/>
        </w:rPr>
        <w:t>Regional Science and Urban Economics</w:t>
      </w:r>
      <w:r w:rsidRPr="005D33CD">
        <w:rPr>
          <w:rFonts w:cs="Arial"/>
          <w:spacing w:val="-2"/>
        </w:rPr>
        <w:t>, February 1982</w:t>
      </w:r>
    </w:p>
    <w:p w:rsidR="00BF3D14" w:rsidRPr="005D33CD" w:rsidRDefault="00BF3D14" w:rsidP="007D53E1">
      <w:pPr>
        <w:jc w:val="both"/>
        <w:rPr>
          <w:rFonts w:cs="Arial"/>
          <w:spacing w:val="-2"/>
        </w:rPr>
      </w:pPr>
    </w:p>
    <w:p w:rsidR="001067F7" w:rsidRPr="005D33CD" w:rsidRDefault="001067F7" w:rsidP="001067F7">
      <w:pPr>
        <w:jc w:val="both"/>
        <w:rPr>
          <w:rFonts w:cstheme="minorHAnsi"/>
          <w:spacing w:val="-2"/>
        </w:rPr>
      </w:pPr>
      <w:r w:rsidRPr="005D33CD">
        <w:rPr>
          <w:rFonts w:cstheme="minorHAnsi"/>
          <w:spacing w:val="-2"/>
        </w:rPr>
        <w:t>OECD (2009). Regions Matter: Economic Recovery, Innovation and Sustainable Growth, Paris.</w:t>
      </w:r>
    </w:p>
    <w:p w:rsidR="0066511A" w:rsidRPr="005D33CD" w:rsidRDefault="0066511A" w:rsidP="001067F7">
      <w:pPr>
        <w:jc w:val="both"/>
        <w:rPr>
          <w:rFonts w:cstheme="minorHAnsi"/>
          <w:spacing w:val="-2"/>
        </w:rPr>
      </w:pPr>
    </w:p>
    <w:p w:rsidR="0066511A" w:rsidRPr="005D33CD" w:rsidRDefault="0066511A" w:rsidP="001067F7">
      <w:pPr>
        <w:jc w:val="both"/>
        <w:rPr>
          <w:rFonts w:cstheme="minorHAnsi"/>
          <w:spacing w:val="-2"/>
        </w:rPr>
      </w:pPr>
      <w:r w:rsidRPr="005D33CD">
        <w:t>Ogus and Skinner (</w:t>
      </w:r>
      <w:r w:rsidR="00233317" w:rsidRPr="005D33CD">
        <w:t>2010).</w:t>
      </w:r>
    </w:p>
    <w:p w:rsidR="005866C4" w:rsidRPr="005D33CD" w:rsidRDefault="005866C4" w:rsidP="007D53E1">
      <w:pPr>
        <w:jc w:val="both"/>
      </w:pPr>
    </w:p>
    <w:p w:rsidR="001067F7" w:rsidRPr="005D33CD" w:rsidRDefault="001067F7" w:rsidP="001067F7">
      <w:pPr>
        <w:jc w:val="both"/>
        <w:rPr>
          <w:lang w:val="en-GB" w:eastAsia="en-GB"/>
        </w:rPr>
      </w:pPr>
      <w:r w:rsidRPr="005D33CD">
        <w:rPr>
          <w:lang w:val="en-GB" w:eastAsia="en-GB"/>
        </w:rPr>
        <w:t>Rosenthal, Stuart S. and William Strange (2004). Evidence on the nature and Sources of Agglomeration Economies. In Vernon Henderson and Jacques-François Thisse (</w:t>
      </w:r>
      <w:r w:rsidR="004E19EA" w:rsidRPr="005D33CD">
        <w:rPr>
          <w:lang w:val="en-GB" w:eastAsia="en-GB"/>
        </w:rPr>
        <w:t>Eds</w:t>
      </w:r>
      <w:r w:rsidRPr="005D33CD">
        <w:rPr>
          <w:lang w:val="en-GB" w:eastAsia="en-GB"/>
        </w:rPr>
        <w:t>.). Handbook of Regional and Urban Economics, volume 4. Amsterdam: North-Holland</w:t>
      </w:r>
      <w:r w:rsidR="00E5444D" w:rsidRPr="005D33CD">
        <w:rPr>
          <w:lang w:val="en-GB" w:eastAsia="en-GB"/>
        </w:rPr>
        <w:t>.</w:t>
      </w:r>
    </w:p>
    <w:p w:rsidR="00E5444D" w:rsidRPr="005D33CD" w:rsidRDefault="00E5444D" w:rsidP="001067F7">
      <w:pPr>
        <w:jc w:val="both"/>
        <w:rPr>
          <w:lang w:val="en-GB" w:eastAsia="en-GB"/>
        </w:rPr>
      </w:pPr>
    </w:p>
    <w:p w:rsidR="00E5444D" w:rsidRPr="005D33CD" w:rsidRDefault="00E5444D" w:rsidP="00E5444D">
      <w:pPr>
        <w:pStyle w:val="NormalBold"/>
        <w:rPr>
          <w:rFonts w:ascii="Arial" w:hAnsi="Arial"/>
          <w:sz w:val="24"/>
          <w:szCs w:val="24"/>
        </w:rPr>
      </w:pPr>
      <w:r w:rsidRPr="005D33CD">
        <w:rPr>
          <w:sz w:val="24"/>
          <w:szCs w:val="24"/>
        </w:rPr>
        <w:t>Scott, P. (2007). The Triumph of the South: A Regional Economic History of Early-Twentieth Century Britain, Farnham: Ashgate</w:t>
      </w:r>
      <w:r w:rsidRPr="005D33CD">
        <w:rPr>
          <w:rFonts w:ascii="Arial" w:hAnsi="Arial"/>
          <w:sz w:val="24"/>
          <w:szCs w:val="24"/>
        </w:rPr>
        <w:t>.</w:t>
      </w:r>
    </w:p>
    <w:p w:rsidR="00E026BC" w:rsidRPr="005D33CD" w:rsidRDefault="00E026BC" w:rsidP="00E026BC">
      <w:pPr>
        <w:rPr>
          <w:lang w:val="en-GB"/>
        </w:rPr>
      </w:pPr>
    </w:p>
    <w:p w:rsidR="00E026BC" w:rsidRPr="005D33CD" w:rsidRDefault="00E026BC" w:rsidP="00E026BC">
      <w:pPr>
        <w:spacing w:before="120"/>
        <w:ind w:left="567" w:hanging="567"/>
        <w:jc w:val="both"/>
      </w:pPr>
      <w:r w:rsidRPr="005D33CD">
        <w:t xml:space="preserve">Scott, M. F. (1991) A New View of Economic Growth, London: Clarenden Press. </w:t>
      </w:r>
    </w:p>
    <w:p w:rsidR="00E5444D" w:rsidRPr="005D33CD" w:rsidRDefault="00E5444D" w:rsidP="001067F7">
      <w:pPr>
        <w:jc w:val="both"/>
        <w:rPr>
          <w:lang w:val="en-GB" w:eastAsia="en-GB"/>
        </w:rPr>
      </w:pPr>
    </w:p>
    <w:p w:rsidR="00E5444D" w:rsidRPr="005D33CD" w:rsidRDefault="00E5444D" w:rsidP="008B24C6">
      <w:pPr>
        <w:jc w:val="both"/>
      </w:pPr>
      <w:r w:rsidRPr="005D33CD">
        <w:t xml:space="preserve">Storper, M. (2013). Keys to the City: </w:t>
      </w:r>
      <w:r w:rsidR="008B24C6" w:rsidRPr="005D33CD">
        <w:t>How Economics, Institutions, Social Interaction, and Politics Shape Development. Princeton University Press.</w:t>
      </w:r>
    </w:p>
    <w:p w:rsidR="00E5444D" w:rsidRPr="005D33CD" w:rsidRDefault="00E5444D" w:rsidP="00455502">
      <w:pPr>
        <w:jc w:val="both"/>
        <w:rPr>
          <w:rFonts w:eastAsia="Cambria" w:cs="Arial"/>
          <w:spacing w:val="-2"/>
        </w:rPr>
      </w:pPr>
    </w:p>
    <w:p w:rsidR="00455502" w:rsidRPr="005D33CD" w:rsidRDefault="00455502" w:rsidP="00455502">
      <w:pPr>
        <w:jc w:val="both"/>
        <w:rPr>
          <w:rFonts w:eastAsia="Cambria" w:cs="Arial"/>
          <w:spacing w:val="-2"/>
        </w:rPr>
      </w:pPr>
      <w:r w:rsidRPr="005D33CD">
        <w:rPr>
          <w:rFonts w:eastAsia="Cambria" w:cs="Arial"/>
          <w:spacing w:val="-2"/>
        </w:rPr>
        <w:t xml:space="preserve">Tyler, P. Moore, B. and Rhodes, J., </w:t>
      </w:r>
      <w:r w:rsidR="00CC6322" w:rsidRPr="005D33CD">
        <w:rPr>
          <w:rFonts w:eastAsia="Cambria" w:cs="Arial"/>
          <w:spacing w:val="-2"/>
        </w:rPr>
        <w:t xml:space="preserve">(1988) </w:t>
      </w:r>
      <w:r w:rsidR="001067F7" w:rsidRPr="005D33CD">
        <w:rPr>
          <w:rFonts w:eastAsia="Cambria" w:cs="Arial"/>
          <w:spacing w:val="-2"/>
        </w:rPr>
        <w:t xml:space="preserve">Geographical Variations in Industrial Costs. </w:t>
      </w:r>
      <w:r w:rsidRPr="005D33CD">
        <w:rPr>
          <w:rFonts w:eastAsia="Cambria" w:cs="Arial"/>
          <w:spacing w:val="-2"/>
        </w:rPr>
        <w:t>Scottish</w:t>
      </w:r>
      <w:r w:rsidRPr="005D33CD">
        <w:rPr>
          <w:rFonts w:eastAsia="Cambria" w:cs="Arial"/>
          <w:b/>
          <w:bCs/>
          <w:spacing w:val="-2"/>
        </w:rPr>
        <w:t xml:space="preserve"> </w:t>
      </w:r>
      <w:r w:rsidRPr="005D33CD">
        <w:rPr>
          <w:rFonts w:eastAsia="Cambria" w:cs="Arial"/>
          <w:bCs/>
          <w:spacing w:val="-2"/>
        </w:rPr>
        <w:t>Journal of Political Economy</w:t>
      </w:r>
      <w:r w:rsidRPr="005D33CD">
        <w:rPr>
          <w:rFonts w:eastAsia="Cambria" w:cs="Arial"/>
          <w:spacing w:val="-2"/>
        </w:rPr>
        <w:t>, Vol. 35, No. 1, February 1988.</w:t>
      </w:r>
    </w:p>
    <w:p w:rsidR="001067F7" w:rsidRPr="005D33CD" w:rsidRDefault="001067F7" w:rsidP="00455502">
      <w:pPr>
        <w:jc w:val="both"/>
        <w:rPr>
          <w:rFonts w:eastAsia="Cambria" w:cs="Arial"/>
          <w:spacing w:val="-2"/>
        </w:rPr>
      </w:pPr>
    </w:p>
    <w:p w:rsidR="001067F7" w:rsidRPr="005D33CD" w:rsidRDefault="001067F7" w:rsidP="001067F7">
      <w:pPr>
        <w:jc w:val="both"/>
        <w:rPr>
          <w:rFonts w:cstheme="minorHAnsi"/>
        </w:rPr>
      </w:pPr>
      <w:r w:rsidRPr="005D33CD">
        <w:rPr>
          <w:rFonts w:cstheme="minorHAnsi"/>
        </w:rPr>
        <w:t>World Bank (2009) Reshaping Economic Geography Washington, DC: The World Bank.</w:t>
      </w:r>
    </w:p>
    <w:p w:rsidR="001067F7" w:rsidRPr="005D33CD" w:rsidRDefault="001067F7" w:rsidP="00455502">
      <w:pPr>
        <w:jc w:val="both"/>
        <w:rPr>
          <w:rFonts w:eastAsia="Cambria" w:cs="Arial"/>
          <w:spacing w:val="-2"/>
        </w:rPr>
      </w:pPr>
    </w:p>
    <w:p w:rsidR="001067F7" w:rsidRDefault="001067F7" w:rsidP="00A06F20">
      <w:pPr>
        <w:ind w:left="142"/>
        <w:rPr>
          <w:b/>
        </w:rPr>
      </w:pPr>
    </w:p>
    <w:p w:rsidR="00E007AB" w:rsidRDefault="00E007AB">
      <w:pPr>
        <w:rPr>
          <w:rFonts w:ascii="Cambria" w:hAnsi="Cambria"/>
          <w:b/>
          <w:sz w:val="28"/>
          <w:szCs w:val="28"/>
        </w:rPr>
      </w:pPr>
      <w:r>
        <w:rPr>
          <w:rFonts w:ascii="Cambria" w:hAnsi="Cambria"/>
          <w:b/>
          <w:sz w:val="28"/>
          <w:szCs w:val="28"/>
        </w:rPr>
        <w:br w:type="page"/>
      </w:r>
    </w:p>
    <w:p w:rsidR="00A06F20" w:rsidRPr="001067F7" w:rsidRDefault="008547D8" w:rsidP="001067F7">
      <w:pPr>
        <w:rPr>
          <w:rFonts w:ascii="Cambria" w:hAnsi="Cambria"/>
          <w:b/>
          <w:sz w:val="28"/>
          <w:szCs w:val="28"/>
        </w:rPr>
      </w:pPr>
      <w:r w:rsidRPr="001067F7">
        <w:rPr>
          <w:rFonts w:ascii="Cambria" w:hAnsi="Cambria"/>
          <w:b/>
          <w:sz w:val="28"/>
          <w:szCs w:val="28"/>
        </w:rPr>
        <w:lastRenderedPageBreak/>
        <w:t xml:space="preserve">Annex A: </w:t>
      </w:r>
      <w:r w:rsidR="00B068D5" w:rsidRPr="001067F7">
        <w:rPr>
          <w:rFonts w:ascii="Cambria" w:hAnsi="Cambria"/>
          <w:b/>
          <w:sz w:val="28"/>
          <w:szCs w:val="28"/>
        </w:rPr>
        <w:t xml:space="preserve"> </w:t>
      </w:r>
      <w:r w:rsidRPr="001067F7">
        <w:rPr>
          <w:rFonts w:ascii="Cambria" w:hAnsi="Cambria"/>
          <w:b/>
          <w:sz w:val="28"/>
          <w:szCs w:val="28"/>
        </w:rPr>
        <w:t>Area Descriptions</w:t>
      </w:r>
    </w:p>
    <w:p w:rsidR="001067F7" w:rsidRPr="001067F7" w:rsidRDefault="001067F7" w:rsidP="00A06F20">
      <w:pPr>
        <w:ind w:left="142"/>
        <w:rPr>
          <w:rFonts w:ascii="Cambria" w:hAnsi="Cambria"/>
          <w:b/>
        </w:rPr>
      </w:pPr>
    </w:p>
    <w:p w:rsidR="008547D8" w:rsidRPr="00E007AB" w:rsidRDefault="00E4611F" w:rsidP="00E007AB">
      <w:pPr>
        <w:spacing w:after="120" w:line="480" w:lineRule="auto"/>
        <w:ind w:left="142"/>
        <w:jc w:val="both"/>
        <w:rPr>
          <w:rFonts w:ascii="Cambria" w:hAnsi="Cambria"/>
          <w:b/>
        </w:rPr>
      </w:pPr>
      <w:r w:rsidRPr="00E007AB">
        <w:rPr>
          <w:rFonts w:ascii="Cambria" w:hAnsi="Cambria"/>
        </w:rPr>
        <w:t>The construction of the LEP areas from LAD level is mostly a well-known aggregation</w:t>
      </w:r>
      <w:r w:rsidR="009344B1" w:rsidRPr="00E007AB">
        <w:rPr>
          <w:rStyle w:val="FootnoteReference"/>
          <w:rFonts w:ascii="Cambria" w:hAnsi="Cambria"/>
        </w:rPr>
        <w:footnoteReference w:id="7"/>
      </w:r>
      <w:r w:rsidRPr="00E007AB">
        <w:rPr>
          <w:rFonts w:ascii="Cambria" w:hAnsi="Cambria"/>
        </w:rPr>
        <w:t>, and is not covered here. Suffice to say that the 39 LEPs have been ordered alphabetically in our analysis.</w:t>
      </w:r>
    </w:p>
    <w:tbl>
      <w:tblPr>
        <w:tblW w:w="5796" w:type="dxa"/>
        <w:tblInd w:w="108" w:type="dxa"/>
        <w:tblLook w:val="04A0" w:firstRow="1" w:lastRow="0" w:firstColumn="1" w:lastColumn="0" w:noHBand="0" w:noVBand="1"/>
      </w:tblPr>
      <w:tblGrid>
        <w:gridCol w:w="5796"/>
      </w:tblGrid>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E4611F"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0</w:t>
            </w:r>
            <w:r w:rsidR="00A06F20" w:rsidRPr="00D53DC5">
              <w:rPr>
                <w:rFonts w:ascii="Cambria" w:eastAsia="Times New Roman" w:hAnsi="Cambria" w:cs="Calibri"/>
                <w:color w:val="000000"/>
                <w:sz w:val="22"/>
                <w:szCs w:val="22"/>
                <w:lang w:eastAsia="en-GB"/>
              </w:rPr>
              <w:t>1 - Black Country</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02 - Buckinghamshire Thames Valley</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03 - Cheshire and Warrington</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04 - Coast to Capital</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05 - Cornwall and Isles of Scilly</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06 - Coventry and Warwickshire</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 xml:space="preserve">07 </w:t>
            </w:r>
            <w:r w:rsidR="001067F7">
              <w:rPr>
                <w:rFonts w:ascii="Cambria" w:eastAsia="Times New Roman" w:hAnsi="Cambria" w:cs="Calibri"/>
                <w:color w:val="000000"/>
                <w:sz w:val="22"/>
                <w:szCs w:val="22"/>
                <w:lang w:eastAsia="en-GB"/>
              </w:rPr>
              <w:t>–</w:t>
            </w:r>
            <w:r w:rsidRPr="00D53DC5">
              <w:rPr>
                <w:rFonts w:ascii="Cambria" w:eastAsia="Times New Roman" w:hAnsi="Cambria" w:cs="Calibri"/>
                <w:color w:val="000000"/>
                <w:sz w:val="22"/>
                <w:szCs w:val="22"/>
                <w:lang w:eastAsia="en-GB"/>
              </w:rPr>
              <w:t xml:space="preserve"> Cumbria</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08 - Derby, Derbyshire, Nottingham and Nottinghamshir</w:t>
            </w:r>
            <w:r w:rsidR="009344B1" w:rsidRPr="00D53DC5">
              <w:rPr>
                <w:rFonts w:ascii="Cambria" w:eastAsia="Times New Roman" w:hAnsi="Cambria" w:cs="Calibri"/>
                <w:color w:val="000000"/>
                <w:sz w:val="22"/>
                <w:szCs w:val="22"/>
                <w:lang w:eastAsia="en-GB"/>
              </w:rPr>
              <w:t>e</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 xml:space="preserve">09 </w:t>
            </w:r>
            <w:r w:rsidR="001067F7">
              <w:rPr>
                <w:rFonts w:ascii="Cambria" w:eastAsia="Times New Roman" w:hAnsi="Cambria" w:cs="Calibri"/>
                <w:color w:val="000000"/>
                <w:sz w:val="22"/>
                <w:szCs w:val="22"/>
                <w:lang w:eastAsia="en-GB"/>
              </w:rPr>
              <w:t>–</w:t>
            </w:r>
            <w:r w:rsidRPr="00D53DC5">
              <w:rPr>
                <w:rFonts w:ascii="Cambria" w:eastAsia="Times New Roman" w:hAnsi="Cambria" w:cs="Calibri"/>
                <w:color w:val="000000"/>
                <w:sz w:val="22"/>
                <w:szCs w:val="22"/>
                <w:lang w:eastAsia="en-GB"/>
              </w:rPr>
              <w:t xml:space="preserve"> Dorset</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10 - Enterprise M3</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 xml:space="preserve">11 </w:t>
            </w:r>
            <w:r w:rsidR="001067F7">
              <w:rPr>
                <w:rFonts w:ascii="Cambria" w:eastAsia="Times New Roman" w:hAnsi="Cambria" w:cs="Calibri"/>
                <w:color w:val="000000"/>
                <w:sz w:val="22"/>
                <w:szCs w:val="22"/>
                <w:lang w:eastAsia="en-GB"/>
              </w:rPr>
              <w:t>–</w:t>
            </w:r>
            <w:r w:rsidRPr="00D53DC5">
              <w:rPr>
                <w:rFonts w:ascii="Cambria" w:eastAsia="Times New Roman" w:hAnsi="Cambria" w:cs="Calibri"/>
                <w:color w:val="000000"/>
                <w:sz w:val="22"/>
                <w:szCs w:val="22"/>
                <w:lang w:eastAsia="en-GB"/>
              </w:rPr>
              <w:t xml:space="preserve"> Gloucestershire</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12 - Greater Birmingham and Solihull</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13 - Greater Cambridge and Greater Peterborough</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14 - Greater Manchester</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15 - Heart of the South West</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 xml:space="preserve">16 </w:t>
            </w:r>
            <w:r w:rsidR="001067F7">
              <w:rPr>
                <w:rFonts w:ascii="Cambria" w:eastAsia="Times New Roman" w:hAnsi="Cambria" w:cs="Calibri"/>
                <w:color w:val="000000"/>
                <w:sz w:val="22"/>
                <w:szCs w:val="22"/>
                <w:lang w:eastAsia="en-GB"/>
              </w:rPr>
              <w:t>–</w:t>
            </w:r>
            <w:r w:rsidRPr="00D53DC5">
              <w:rPr>
                <w:rFonts w:ascii="Cambria" w:eastAsia="Times New Roman" w:hAnsi="Cambria" w:cs="Calibri"/>
                <w:color w:val="000000"/>
                <w:sz w:val="22"/>
                <w:szCs w:val="22"/>
                <w:lang w:eastAsia="en-GB"/>
              </w:rPr>
              <w:t xml:space="preserve"> Hertfordshire</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 xml:space="preserve">17 </w:t>
            </w:r>
            <w:r w:rsidR="001067F7">
              <w:rPr>
                <w:rFonts w:ascii="Cambria" w:eastAsia="Times New Roman" w:hAnsi="Cambria" w:cs="Calibri"/>
                <w:color w:val="000000"/>
                <w:sz w:val="22"/>
                <w:szCs w:val="22"/>
                <w:lang w:eastAsia="en-GB"/>
              </w:rPr>
              <w:t>–</w:t>
            </w:r>
            <w:r w:rsidRPr="00D53DC5">
              <w:rPr>
                <w:rFonts w:ascii="Cambria" w:eastAsia="Times New Roman" w:hAnsi="Cambria" w:cs="Calibri"/>
                <w:color w:val="000000"/>
                <w:sz w:val="22"/>
                <w:szCs w:val="22"/>
                <w:lang w:eastAsia="en-GB"/>
              </w:rPr>
              <w:t xml:space="preserve"> Humber</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 xml:space="preserve">18 </w:t>
            </w:r>
            <w:r w:rsidR="001067F7">
              <w:rPr>
                <w:rFonts w:ascii="Cambria" w:eastAsia="Times New Roman" w:hAnsi="Cambria" w:cs="Calibri"/>
                <w:color w:val="000000"/>
                <w:sz w:val="22"/>
                <w:szCs w:val="22"/>
                <w:lang w:eastAsia="en-GB"/>
              </w:rPr>
              <w:t>–</w:t>
            </w:r>
            <w:r w:rsidRPr="00D53DC5">
              <w:rPr>
                <w:rFonts w:ascii="Cambria" w:eastAsia="Times New Roman" w:hAnsi="Cambria" w:cs="Calibri"/>
                <w:color w:val="000000"/>
                <w:sz w:val="22"/>
                <w:szCs w:val="22"/>
                <w:lang w:eastAsia="en-GB"/>
              </w:rPr>
              <w:t xml:space="preserve"> Lancashire</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19 - Leeds City Region</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20 - Leicester and Leicestershire</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 xml:space="preserve">21 </w:t>
            </w:r>
            <w:r w:rsidR="001067F7">
              <w:rPr>
                <w:rFonts w:ascii="Cambria" w:eastAsia="Times New Roman" w:hAnsi="Cambria" w:cs="Calibri"/>
                <w:color w:val="000000"/>
                <w:sz w:val="22"/>
                <w:szCs w:val="22"/>
                <w:lang w:eastAsia="en-GB"/>
              </w:rPr>
              <w:t>–</w:t>
            </w:r>
            <w:r w:rsidRPr="00D53DC5">
              <w:rPr>
                <w:rFonts w:ascii="Cambria" w:eastAsia="Times New Roman" w:hAnsi="Cambria" w:cs="Calibri"/>
                <w:color w:val="000000"/>
                <w:sz w:val="22"/>
                <w:szCs w:val="22"/>
                <w:lang w:eastAsia="en-GB"/>
              </w:rPr>
              <w:t xml:space="preserve"> Lincolnshire</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22 - Liverpool City Region</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 xml:space="preserve">23 </w:t>
            </w:r>
            <w:r w:rsidR="001067F7">
              <w:rPr>
                <w:rFonts w:ascii="Cambria" w:eastAsia="Times New Roman" w:hAnsi="Cambria" w:cs="Calibri"/>
                <w:color w:val="000000"/>
                <w:sz w:val="22"/>
                <w:szCs w:val="22"/>
                <w:lang w:eastAsia="en-GB"/>
              </w:rPr>
              <w:t>–</w:t>
            </w:r>
            <w:r w:rsidRPr="00D53DC5">
              <w:rPr>
                <w:rFonts w:ascii="Cambria" w:eastAsia="Times New Roman" w:hAnsi="Cambria" w:cs="Calibri"/>
                <w:color w:val="000000"/>
                <w:sz w:val="22"/>
                <w:szCs w:val="22"/>
                <w:lang w:eastAsia="en-GB"/>
              </w:rPr>
              <w:t xml:space="preserve"> London</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24 - New Anglia</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25 - North Eastern</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 xml:space="preserve">26 </w:t>
            </w:r>
            <w:r w:rsidR="001067F7">
              <w:rPr>
                <w:rFonts w:ascii="Cambria" w:eastAsia="Times New Roman" w:hAnsi="Cambria" w:cs="Calibri"/>
                <w:color w:val="000000"/>
                <w:sz w:val="22"/>
                <w:szCs w:val="22"/>
                <w:lang w:eastAsia="en-GB"/>
              </w:rPr>
              <w:t>–</w:t>
            </w:r>
            <w:r w:rsidRPr="00D53DC5">
              <w:rPr>
                <w:rFonts w:ascii="Cambria" w:eastAsia="Times New Roman" w:hAnsi="Cambria" w:cs="Calibri"/>
                <w:color w:val="000000"/>
                <w:sz w:val="22"/>
                <w:szCs w:val="22"/>
                <w:lang w:eastAsia="en-GB"/>
              </w:rPr>
              <w:t xml:space="preserve"> Northamptonshire</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 xml:space="preserve">27 </w:t>
            </w:r>
            <w:r w:rsidR="001067F7">
              <w:rPr>
                <w:rFonts w:ascii="Cambria" w:eastAsia="Times New Roman" w:hAnsi="Cambria" w:cs="Calibri"/>
                <w:color w:val="000000"/>
                <w:sz w:val="22"/>
                <w:szCs w:val="22"/>
                <w:lang w:eastAsia="en-GB"/>
              </w:rPr>
              <w:t>–</w:t>
            </w:r>
            <w:r w:rsidRPr="00D53DC5">
              <w:rPr>
                <w:rFonts w:ascii="Cambria" w:eastAsia="Times New Roman" w:hAnsi="Cambria" w:cs="Calibri"/>
                <w:color w:val="000000"/>
                <w:sz w:val="22"/>
                <w:szCs w:val="22"/>
                <w:lang w:eastAsia="en-GB"/>
              </w:rPr>
              <w:t xml:space="preserve"> Oxfordshire</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28 - Sheffield City Region</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 xml:space="preserve">29 </w:t>
            </w:r>
            <w:r w:rsidR="001067F7">
              <w:rPr>
                <w:rFonts w:ascii="Cambria" w:eastAsia="Times New Roman" w:hAnsi="Cambria" w:cs="Calibri"/>
                <w:color w:val="000000"/>
                <w:sz w:val="22"/>
                <w:szCs w:val="22"/>
                <w:lang w:eastAsia="en-GB"/>
              </w:rPr>
              <w:t>–</w:t>
            </w:r>
            <w:r w:rsidRPr="00D53DC5">
              <w:rPr>
                <w:rFonts w:ascii="Cambria" w:eastAsia="Times New Roman" w:hAnsi="Cambria" w:cs="Calibri"/>
                <w:color w:val="000000"/>
                <w:sz w:val="22"/>
                <w:szCs w:val="22"/>
                <w:lang w:eastAsia="en-GB"/>
              </w:rPr>
              <w:t xml:space="preserve"> Solent</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30 - South East</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31 - South East Midlands</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32 - Stoke-on-Trent and Staffordshire</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33 - Swindon and Wiltshire</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34 - Tees Valley</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35 - Thames Valley Berkshire</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lastRenderedPageBreak/>
              <w:t>36 - The Marches</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37 - West of England</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 xml:space="preserve">38 </w:t>
            </w:r>
            <w:r w:rsidR="001067F7">
              <w:rPr>
                <w:rFonts w:ascii="Cambria" w:eastAsia="Times New Roman" w:hAnsi="Cambria" w:cs="Calibri"/>
                <w:color w:val="000000"/>
                <w:sz w:val="22"/>
                <w:szCs w:val="22"/>
                <w:lang w:eastAsia="en-GB"/>
              </w:rPr>
              <w:t>–</w:t>
            </w:r>
            <w:r w:rsidRPr="00D53DC5">
              <w:rPr>
                <w:rFonts w:ascii="Cambria" w:eastAsia="Times New Roman" w:hAnsi="Cambria" w:cs="Calibri"/>
                <w:color w:val="000000"/>
                <w:sz w:val="22"/>
                <w:szCs w:val="22"/>
                <w:lang w:eastAsia="en-GB"/>
              </w:rPr>
              <w:t xml:space="preserve"> Worcestershire</w:t>
            </w:r>
          </w:p>
        </w:tc>
      </w:tr>
      <w:tr w:rsidR="00A06F20" w:rsidRPr="00D53DC5">
        <w:trPr>
          <w:trHeight w:val="288"/>
        </w:trPr>
        <w:tc>
          <w:tcPr>
            <w:tcW w:w="5796" w:type="dxa"/>
            <w:tcBorders>
              <w:top w:val="nil"/>
              <w:left w:val="nil"/>
              <w:bottom w:val="nil"/>
              <w:right w:val="nil"/>
            </w:tcBorders>
            <w:shd w:val="clear" w:color="auto" w:fill="auto"/>
            <w:noWrap/>
            <w:vAlign w:val="bottom"/>
          </w:tcPr>
          <w:p w:rsidR="00A06F20" w:rsidRPr="00D53DC5" w:rsidRDefault="00A06F20"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39 - York and North Yorkshire</w:t>
            </w:r>
          </w:p>
        </w:tc>
      </w:tr>
    </w:tbl>
    <w:p w:rsidR="00CB33E7" w:rsidRPr="00C400A8" w:rsidRDefault="00CB33E7" w:rsidP="009344B1">
      <w:pPr>
        <w:jc w:val="both"/>
        <w:rPr>
          <w:rFonts w:ascii="Cambria" w:hAnsi="Cambria"/>
          <w:sz w:val="16"/>
          <w:szCs w:val="16"/>
        </w:rPr>
      </w:pPr>
    </w:p>
    <w:p w:rsidR="009344B1" w:rsidRPr="00E007AB" w:rsidRDefault="009344B1" w:rsidP="00E007AB">
      <w:pPr>
        <w:spacing w:line="480" w:lineRule="auto"/>
        <w:jc w:val="both"/>
        <w:rPr>
          <w:rFonts w:ascii="Cambria" w:hAnsi="Cambria"/>
        </w:rPr>
      </w:pPr>
      <w:r w:rsidRPr="00E007AB">
        <w:rPr>
          <w:rFonts w:ascii="Cambria" w:hAnsi="Cambria"/>
        </w:rPr>
        <w:t xml:space="preserve">In addition </w:t>
      </w:r>
      <w:r w:rsidR="00A712E1" w:rsidRPr="00E007AB">
        <w:rPr>
          <w:rFonts w:ascii="Cambria" w:hAnsi="Cambria"/>
        </w:rPr>
        <w:t>it was</w:t>
      </w:r>
      <w:r w:rsidRPr="00E007AB">
        <w:rPr>
          <w:rFonts w:ascii="Cambria" w:hAnsi="Cambria"/>
        </w:rPr>
        <w:t xml:space="preserve"> decided to extend the analysis to Scotland and Wales, as they are interesting (and connected) areas to include as part of Great Britain</w:t>
      </w:r>
      <w:r w:rsidR="00A712E1" w:rsidRPr="00E007AB">
        <w:rPr>
          <w:rFonts w:ascii="Cambria" w:hAnsi="Cambria"/>
        </w:rPr>
        <w:t xml:space="preserve"> and also increase the size of sample to be analysed</w:t>
      </w:r>
      <w:r w:rsidRPr="00E007AB">
        <w:rPr>
          <w:rFonts w:ascii="Cambria" w:hAnsi="Cambria"/>
        </w:rPr>
        <w:t>. To this end, we used analysis undertaken for the UK Commission for Employment and Skills (Working Futures) in 2010-11, when a</w:t>
      </w:r>
      <w:r w:rsidR="001C1519" w:rsidRPr="00E007AB">
        <w:rPr>
          <w:rFonts w:ascii="Cambria" w:hAnsi="Cambria"/>
        </w:rPr>
        <w:t xml:space="preserve"> sub-regional analysis</w:t>
      </w:r>
      <w:r w:rsidRPr="00E007AB">
        <w:rPr>
          <w:rFonts w:ascii="Cambria" w:hAnsi="Cambria"/>
        </w:rPr>
        <w:t xml:space="preserve"> was undertaken, which also used LEPs as the English spatial disaggregation. For Scotland and Wales the following disaggregation was used</w:t>
      </w:r>
      <w:r w:rsidR="00274079" w:rsidRPr="00E007AB">
        <w:rPr>
          <w:rFonts w:ascii="Cambria" w:hAnsi="Cambria"/>
        </w:rPr>
        <w:t xml:space="preserve"> (based on LAD aggregations)</w:t>
      </w:r>
      <w:r w:rsidRPr="00E007AB">
        <w:rPr>
          <w:rFonts w:ascii="Cambria" w:hAnsi="Cambria"/>
        </w:rPr>
        <w:t>:</w:t>
      </w:r>
    </w:p>
    <w:p w:rsidR="009344B1" w:rsidRPr="00D53DC5" w:rsidRDefault="009344B1" w:rsidP="009344B1">
      <w:pPr>
        <w:jc w:val="both"/>
        <w:rPr>
          <w:rFonts w:ascii="Cambria" w:hAnsi="Cambria"/>
          <w:sz w:val="22"/>
          <w:szCs w:val="22"/>
        </w:rPr>
      </w:pPr>
    </w:p>
    <w:tbl>
      <w:tblPr>
        <w:tblStyle w:val="TableGrid"/>
        <w:tblW w:w="0" w:type="auto"/>
        <w:tblLook w:val="04A0" w:firstRow="1" w:lastRow="0" w:firstColumn="1" w:lastColumn="0" w:noHBand="0" w:noVBand="1"/>
      </w:tblPr>
      <w:tblGrid>
        <w:gridCol w:w="1951"/>
        <w:gridCol w:w="6195"/>
      </w:tblGrid>
      <w:tr w:rsidR="00274079" w:rsidRPr="00D53DC5">
        <w:tc>
          <w:tcPr>
            <w:tcW w:w="8146" w:type="dxa"/>
            <w:gridSpan w:val="2"/>
          </w:tcPr>
          <w:p w:rsidR="00274079" w:rsidRPr="00D53DC5" w:rsidRDefault="00274079" w:rsidP="009344B1">
            <w:pPr>
              <w:jc w:val="both"/>
              <w:rPr>
                <w:rFonts w:ascii="Cambria" w:hAnsi="Cambria"/>
                <w:sz w:val="22"/>
                <w:szCs w:val="22"/>
              </w:rPr>
            </w:pPr>
            <w:r w:rsidRPr="00D53DC5">
              <w:rPr>
                <w:rFonts w:ascii="Cambria" w:hAnsi="Cambria"/>
                <w:i/>
                <w:sz w:val="22"/>
                <w:szCs w:val="22"/>
              </w:rPr>
              <w:t>Wales</w:t>
            </w:r>
          </w:p>
        </w:tc>
      </w:tr>
      <w:tr w:rsidR="00274079" w:rsidRPr="00D53DC5">
        <w:tc>
          <w:tcPr>
            <w:tcW w:w="1951" w:type="dxa"/>
          </w:tcPr>
          <w:p w:rsidR="00274079" w:rsidRPr="00D53DC5" w:rsidRDefault="00274079" w:rsidP="009344B1">
            <w:pPr>
              <w:jc w:val="both"/>
              <w:rPr>
                <w:rFonts w:ascii="Cambria" w:hAnsi="Cambria"/>
                <w:sz w:val="22"/>
                <w:szCs w:val="22"/>
              </w:rPr>
            </w:pPr>
            <w:r w:rsidRPr="00D53DC5">
              <w:rPr>
                <w:rFonts w:ascii="Cambria" w:hAnsi="Cambria"/>
                <w:sz w:val="22"/>
                <w:szCs w:val="22"/>
              </w:rPr>
              <w:t>North</w:t>
            </w:r>
          </w:p>
        </w:tc>
        <w:tc>
          <w:tcPr>
            <w:tcW w:w="6195" w:type="dxa"/>
          </w:tcPr>
          <w:p w:rsidR="00274079" w:rsidRPr="00D53DC5" w:rsidRDefault="00274079" w:rsidP="00B068D5">
            <w:pPr>
              <w:jc w:val="both"/>
              <w:rPr>
                <w:rFonts w:ascii="Cambria" w:hAnsi="Cambria"/>
                <w:sz w:val="22"/>
                <w:szCs w:val="22"/>
              </w:rPr>
            </w:pPr>
            <w:r w:rsidRPr="00D53DC5">
              <w:rPr>
                <w:rFonts w:ascii="Cambria" w:hAnsi="Cambria"/>
                <w:sz w:val="22"/>
                <w:szCs w:val="22"/>
              </w:rPr>
              <w:t>Anglesey, Conwy, Denbighshire, Flintshire, Gwynedd, Wrexham</w:t>
            </w:r>
          </w:p>
        </w:tc>
      </w:tr>
      <w:tr w:rsidR="00274079" w:rsidRPr="00D53DC5">
        <w:tc>
          <w:tcPr>
            <w:tcW w:w="1951" w:type="dxa"/>
          </w:tcPr>
          <w:p w:rsidR="00274079" w:rsidRPr="00D53DC5" w:rsidRDefault="00274079" w:rsidP="009344B1">
            <w:pPr>
              <w:jc w:val="both"/>
              <w:rPr>
                <w:rFonts w:ascii="Cambria" w:hAnsi="Cambria"/>
                <w:sz w:val="22"/>
                <w:szCs w:val="22"/>
              </w:rPr>
            </w:pPr>
            <w:r w:rsidRPr="00D53DC5">
              <w:rPr>
                <w:rFonts w:ascii="Cambria" w:hAnsi="Cambria"/>
                <w:sz w:val="22"/>
                <w:szCs w:val="22"/>
              </w:rPr>
              <w:t>Mid</w:t>
            </w:r>
          </w:p>
        </w:tc>
        <w:tc>
          <w:tcPr>
            <w:tcW w:w="6195" w:type="dxa"/>
          </w:tcPr>
          <w:p w:rsidR="00274079" w:rsidRPr="00D53DC5" w:rsidRDefault="00B068D5" w:rsidP="00B068D5">
            <w:pPr>
              <w:jc w:val="both"/>
              <w:rPr>
                <w:rFonts w:ascii="Cambria" w:hAnsi="Cambria"/>
                <w:sz w:val="22"/>
                <w:szCs w:val="22"/>
              </w:rPr>
            </w:pPr>
            <w:r w:rsidRPr="00D53DC5">
              <w:rPr>
                <w:rFonts w:ascii="Cambria" w:hAnsi="Cambria"/>
                <w:sz w:val="22"/>
                <w:szCs w:val="22"/>
              </w:rPr>
              <w:t xml:space="preserve">Ceredigion, Powys </w:t>
            </w:r>
          </w:p>
        </w:tc>
      </w:tr>
      <w:tr w:rsidR="00274079" w:rsidRPr="00D53DC5">
        <w:tc>
          <w:tcPr>
            <w:tcW w:w="1951" w:type="dxa"/>
          </w:tcPr>
          <w:p w:rsidR="00274079" w:rsidRPr="00D53DC5" w:rsidRDefault="00274079" w:rsidP="009344B1">
            <w:pPr>
              <w:jc w:val="both"/>
              <w:rPr>
                <w:rFonts w:ascii="Cambria" w:hAnsi="Cambria"/>
                <w:sz w:val="22"/>
                <w:szCs w:val="22"/>
              </w:rPr>
            </w:pPr>
            <w:r w:rsidRPr="00D53DC5">
              <w:rPr>
                <w:rFonts w:ascii="Cambria" w:hAnsi="Cambria"/>
                <w:sz w:val="22"/>
                <w:szCs w:val="22"/>
              </w:rPr>
              <w:t>South West</w:t>
            </w:r>
          </w:p>
        </w:tc>
        <w:tc>
          <w:tcPr>
            <w:tcW w:w="6195" w:type="dxa"/>
          </w:tcPr>
          <w:p w:rsidR="00274079" w:rsidRPr="00D53DC5" w:rsidRDefault="00B068D5" w:rsidP="00B068D5">
            <w:pPr>
              <w:jc w:val="both"/>
              <w:rPr>
                <w:rFonts w:ascii="Cambria" w:hAnsi="Cambria"/>
                <w:sz w:val="22"/>
                <w:szCs w:val="22"/>
              </w:rPr>
            </w:pPr>
            <w:r w:rsidRPr="00D53DC5">
              <w:rPr>
                <w:rFonts w:ascii="Cambria" w:hAnsi="Cambria"/>
                <w:sz w:val="22"/>
                <w:szCs w:val="22"/>
              </w:rPr>
              <w:t>Carmarthenshire, Neath Port Talbot, Pembrokeshire, Swansea</w:t>
            </w:r>
          </w:p>
        </w:tc>
      </w:tr>
      <w:tr w:rsidR="00274079" w:rsidRPr="00D53DC5">
        <w:tc>
          <w:tcPr>
            <w:tcW w:w="1951" w:type="dxa"/>
          </w:tcPr>
          <w:p w:rsidR="00274079" w:rsidRPr="00D53DC5" w:rsidRDefault="00274079" w:rsidP="009344B1">
            <w:pPr>
              <w:jc w:val="both"/>
              <w:rPr>
                <w:rFonts w:ascii="Cambria" w:hAnsi="Cambria"/>
                <w:sz w:val="22"/>
                <w:szCs w:val="22"/>
              </w:rPr>
            </w:pPr>
            <w:r w:rsidRPr="00D53DC5">
              <w:rPr>
                <w:rFonts w:ascii="Cambria" w:hAnsi="Cambria"/>
                <w:sz w:val="22"/>
                <w:szCs w:val="22"/>
              </w:rPr>
              <w:t>South East</w:t>
            </w:r>
          </w:p>
        </w:tc>
        <w:tc>
          <w:tcPr>
            <w:tcW w:w="6195" w:type="dxa"/>
          </w:tcPr>
          <w:p w:rsidR="00274079" w:rsidRPr="00D53DC5" w:rsidRDefault="00B068D5" w:rsidP="009344B1">
            <w:pPr>
              <w:jc w:val="both"/>
              <w:rPr>
                <w:rFonts w:ascii="Cambria" w:hAnsi="Cambria"/>
                <w:sz w:val="22"/>
                <w:szCs w:val="22"/>
              </w:rPr>
            </w:pPr>
            <w:r w:rsidRPr="00D53DC5">
              <w:rPr>
                <w:rFonts w:ascii="Cambria" w:hAnsi="Cambria"/>
                <w:sz w:val="22"/>
                <w:szCs w:val="22"/>
              </w:rPr>
              <w:t xml:space="preserve">Bridgend, Blaenau Gwent, Caerphilly, Cardiff, Merthyr Tydfil, </w:t>
            </w:r>
            <w:r w:rsidR="00274079" w:rsidRPr="00D53DC5">
              <w:rPr>
                <w:rFonts w:ascii="Cambria" w:hAnsi="Cambria"/>
                <w:sz w:val="22"/>
                <w:szCs w:val="22"/>
              </w:rPr>
              <w:t>Monmouthshire, Newport, Rhondda Cynon Taff, Torfaen, Vale of Glamorgan</w:t>
            </w:r>
          </w:p>
        </w:tc>
      </w:tr>
      <w:tr w:rsidR="00274079" w:rsidRPr="00D53DC5">
        <w:tc>
          <w:tcPr>
            <w:tcW w:w="8146" w:type="dxa"/>
            <w:gridSpan w:val="2"/>
          </w:tcPr>
          <w:p w:rsidR="00274079" w:rsidRPr="00D53DC5" w:rsidRDefault="00274079" w:rsidP="009344B1">
            <w:pPr>
              <w:jc w:val="both"/>
              <w:rPr>
                <w:rFonts w:ascii="Cambria" w:hAnsi="Cambria"/>
                <w:sz w:val="22"/>
                <w:szCs w:val="22"/>
              </w:rPr>
            </w:pPr>
            <w:r w:rsidRPr="00D53DC5">
              <w:rPr>
                <w:rFonts w:ascii="Cambria" w:hAnsi="Cambria"/>
                <w:i/>
                <w:sz w:val="22"/>
                <w:szCs w:val="22"/>
              </w:rPr>
              <w:t>Scotland</w:t>
            </w:r>
          </w:p>
        </w:tc>
      </w:tr>
      <w:tr w:rsidR="00274079" w:rsidRPr="00D53DC5">
        <w:tc>
          <w:tcPr>
            <w:tcW w:w="1951" w:type="dxa"/>
          </w:tcPr>
          <w:p w:rsidR="00274079" w:rsidRPr="00D53DC5" w:rsidRDefault="00B068D5" w:rsidP="009344B1">
            <w:pPr>
              <w:jc w:val="both"/>
              <w:rPr>
                <w:rFonts w:ascii="Cambria" w:hAnsi="Cambria"/>
                <w:sz w:val="22"/>
                <w:szCs w:val="22"/>
              </w:rPr>
            </w:pPr>
            <w:r w:rsidRPr="00D53DC5">
              <w:rPr>
                <w:rFonts w:ascii="Cambria" w:hAnsi="Cambria"/>
                <w:sz w:val="22"/>
                <w:szCs w:val="22"/>
              </w:rPr>
              <w:t>Aberdeen City and Shire</w:t>
            </w:r>
          </w:p>
        </w:tc>
        <w:tc>
          <w:tcPr>
            <w:tcW w:w="6195" w:type="dxa"/>
          </w:tcPr>
          <w:p w:rsidR="00274079" w:rsidRPr="00D53DC5" w:rsidRDefault="00B068D5" w:rsidP="009344B1">
            <w:pPr>
              <w:jc w:val="both"/>
              <w:rPr>
                <w:rFonts w:ascii="Cambria" w:hAnsi="Cambria"/>
                <w:sz w:val="22"/>
                <w:szCs w:val="22"/>
              </w:rPr>
            </w:pPr>
            <w:r w:rsidRPr="00D53DC5">
              <w:rPr>
                <w:rFonts w:ascii="Cambria" w:hAnsi="Cambria"/>
                <w:sz w:val="22"/>
                <w:szCs w:val="22"/>
              </w:rPr>
              <w:t>Aberdeen City, Aberdeenshire</w:t>
            </w:r>
          </w:p>
        </w:tc>
      </w:tr>
      <w:tr w:rsidR="00274079" w:rsidRPr="00D53DC5">
        <w:tc>
          <w:tcPr>
            <w:tcW w:w="1951" w:type="dxa"/>
          </w:tcPr>
          <w:p w:rsidR="00274079" w:rsidRPr="00D53DC5" w:rsidRDefault="00B068D5" w:rsidP="009344B1">
            <w:pPr>
              <w:jc w:val="both"/>
              <w:rPr>
                <w:rFonts w:ascii="Cambria" w:hAnsi="Cambria"/>
                <w:sz w:val="22"/>
                <w:szCs w:val="22"/>
              </w:rPr>
            </w:pPr>
            <w:r w:rsidRPr="00D53DC5">
              <w:rPr>
                <w:rFonts w:ascii="Cambria" w:hAnsi="Cambria"/>
                <w:sz w:val="22"/>
                <w:szCs w:val="22"/>
              </w:rPr>
              <w:t>East of Scotland</w:t>
            </w:r>
          </w:p>
        </w:tc>
        <w:tc>
          <w:tcPr>
            <w:tcW w:w="6195" w:type="dxa"/>
          </w:tcPr>
          <w:p w:rsidR="00274079" w:rsidRPr="00D53DC5" w:rsidRDefault="00B068D5" w:rsidP="009344B1">
            <w:pPr>
              <w:jc w:val="both"/>
              <w:rPr>
                <w:rFonts w:ascii="Cambria" w:hAnsi="Cambria"/>
                <w:sz w:val="22"/>
                <w:szCs w:val="22"/>
              </w:rPr>
            </w:pPr>
            <w:r w:rsidRPr="00D53DC5">
              <w:rPr>
                <w:rFonts w:ascii="Cambria" w:hAnsi="Cambria"/>
                <w:sz w:val="22"/>
                <w:szCs w:val="22"/>
              </w:rPr>
              <w:t>City Of Edinburgh, Clackmannanshire, East Lothian, Falkirk, Fife, Midlothian, Stirling, West Lothian</w:t>
            </w:r>
          </w:p>
        </w:tc>
      </w:tr>
      <w:tr w:rsidR="00274079" w:rsidRPr="00D53DC5">
        <w:tc>
          <w:tcPr>
            <w:tcW w:w="1951" w:type="dxa"/>
          </w:tcPr>
          <w:p w:rsidR="00274079" w:rsidRPr="00D53DC5" w:rsidRDefault="00B068D5" w:rsidP="009344B1">
            <w:pPr>
              <w:jc w:val="both"/>
              <w:rPr>
                <w:rFonts w:ascii="Cambria" w:hAnsi="Cambria"/>
                <w:sz w:val="22"/>
                <w:szCs w:val="22"/>
              </w:rPr>
            </w:pPr>
            <w:r w:rsidRPr="00D53DC5">
              <w:rPr>
                <w:rFonts w:ascii="Cambria" w:hAnsi="Cambria"/>
                <w:sz w:val="22"/>
                <w:szCs w:val="22"/>
              </w:rPr>
              <w:t>Highlands and Islands Enterprise</w:t>
            </w:r>
          </w:p>
        </w:tc>
        <w:tc>
          <w:tcPr>
            <w:tcW w:w="6195" w:type="dxa"/>
          </w:tcPr>
          <w:p w:rsidR="00274079" w:rsidRPr="00D53DC5" w:rsidRDefault="00B068D5" w:rsidP="009344B1">
            <w:pPr>
              <w:jc w:val="both"/>
              <w:rPr>
                <w:rFonts w:ascii="Cambria" w:hAnsi="Cambria"/>
                <w:sz w:val="22"/>
                <w:szCs w:val="22"/>
              </w:rPr>
            </w:pPr>
            <w:r w:rsidRPr="00D53DC5">
              <w:rPr>
                <w:rFonts w:ascii="Cambria" w:hAnsi="Cambria"/>
                <w:sz w:val="22"/>
                <w:szCs w:val="22"/>
              </w:rPr>
              <w:t>Argyll And Bute, Highland, Moray, Na H-Eileanan An Iar, Orkney Islands, Shetland Islands</w:t>
            </w:r>
          </w:p>
        </w:tc>
      </w:tr>
      <w:tr w:rsidR="00274079" w:rsidRPr="00D53DC5">
        <w:tc>
          <w:tcPr>
            <w:tcW w:w="1951" w:type="dxa"/>
          </w:tcPr>
          <w:p w:rsidR="00274079" w:rsidRPr="00D53DC5" w:rsidRDefault="00B068D5" w:rsidP="009344B1">
            <w:pPr>
              <w:jc w:val="both"/>
              <w:rPr>
                <w:rFonts w:ascii="Cambria" w:hAnsi="Cambria"/>
                <w:sz w:val="22"/>
                <w:szCs w:val="22"/>
              </w:rPr>
            </w:pPr>
            <w:r w:rsidRPr="00D53DC5">
              <w:rPr>
                <w:rFonts w:ascii="Cambria" w:hAnsi="Cambria"/>
                <w:sz w:val="22"/>
                <w:szCs w:val="22"/>
              </w:rPr>
              <w:t>South of Scotland</w:t>
            </w:r>
          </w:p>
        </w:tc>
        <w:tc>
          <w:tcPr>
            <w:tcW w:w="6195" w:type="dxa"/>
          </w:tcPr>
          <w:p w:rsidR="00274079" w:rsidRPr="00D53DC5" w:rsidRDefault="00B068D5" w:rsidP="009344B1">
            <w:pPr>
              <w:jc w:val="both"/>
              <w:rPr>
                <w:rFonts w:ascii="Cambria" w:hAnsi="Cambria"/>
                <w:sz w:val="22"/>
                <w:szCs w:val="22"/>
              </w:rPr>
            </w:pPr>
            <w:r w:rsidRPr="00D53DC5">
              <w:rPr>
                <w:rFonts w:ascii="Cambria" w:hAnsi="Cambria"/>
                <w:sz w:val="22"/>
                <w:szCs w:val="22"/>
              </w:rPr>
              <w:t>Dumfries And Galloway, Scottish Borders</w:t>
            </w:r>
          </w:p>
        </w:tc>
      </w:tr>
      <w:tr w:rsidR="00274079" w:rsidRPr="00D53DC5">
        <w:tc>
          <w:tcPr>
            <w:tcW w:w="1951" w:type="dxa"/>
          </w:tcPr>
          <w:p w:rsidR="00274079" w:rsidRPr="00D53DC5" w:rsidRDefault="00B068D5" w:rsidP="009344B1">
            <w:pPr>
              <w:jc w:val="both"/>
              <w:rPr>
                <w:rFonts w:ascii="Cambria" w:hAnsi="Cambria"/>
                <w:sz w:val="22"/>
                <w:szCs w:val="22"/>
              </w:rPr>
            </w:pPr>
            <w:r w:rsidRPr="00D53DC5">
              <w:rPr>
                <w:rFonts w:ascii="Cambria" w:hAnsi="Cambria"/>
                <w:sz w:val="22"/>
                <w:szCs w:val="22"/>
              </w:rPr>
              <w:t>Tayside</w:t>
            </w:r>
          </w:p>
        </w:tc>
        <w:tc>
          <w:tcPr>
            <w:tcW w:w="6195" w:type="dxa"/>
          </w:tcPr>
          <w:p w:rsidR="00274079" w:rsidRPr="00D53DC5" w:rsidRDefault="00B068D5" w:rsidP="009344B1">
            <w:pPr>
              <w:jc w:val="both"/>
              <w:rPr>
                <w:rFonts w:ascii="Cambria" w:hAnsi="Cambria"/>
                <w:sz w:val="22"/>
                <w:szCs w:val="22"/>
              </w:rPr>
            </w:pPr>
            <w:r w:rsidRPr="00D53DC5">
              <w:rPr>
                <w:rFonts w:ascii="Cambria" w:hAnsi="Cambria"/>
                <w:sz w:val="22"/>
                <w:szCs w:val="22"/>
              </w:rPr>
              <w:t>Angus, Dundee City, Perth And Kinross</w:t>
            </w:r>
          </w:p>
        </w:tc>
      </w:tr>
      <w:tr w:rsidR="00274079" w:rsidRPr="00D53DC5">
        <w:tc>
          <w:tcPr>
            <w:tcW w:w="1951" w:type="dxa"/>
          </w:tcPr>
          <w:p w:rsidR="00274079" w:rsidRPr="00D53DC5" w:rsidRDefault="00B068D5" w:rsidP="009344B1">
            <w:pPr>
              <w:jc w:val="both"/>
              <w:rPr>
                <w:rFonts w:ascii="Cambria" w:hAnsi="Cambria"/>
                <w:sz w:val="22"/>
                <w:szCs w:val="22"/>
              </w:rPr>
            </w:pPr>
            <w:r w:rsidRPr="00D53DC5">
              <w:rPr>
                <w:rFonts w:ascii="Cambria" w:hAnsi="Cambria"/>
                <w:sz w:val="22"/>
                <w:szCs w:val="22"/>
              </w:rPr>
              <w:t>West of Scotland</w:t>
            </w:r>
          </w:p>
        </w:tc>
        <w:tc>
          <w:tcPr>
            <w:tcW w:w="6195" w:type="dxa"/>
          </w:tcPr>
          <w:p w:rsidR="00274079" w:rsidRPr="00D53DC5" w:rsidRDefault="00B068D5" w:rsidP="009344B1">
            <w:pPr>
              <w:jc w:val="both"/>
              <w:rPr>
                <w:rFonts w:ascii="Cambria" w:hAnsi="Cambria"/>
                <w:sz w:val="22"/>
                <w:szCs w:val="22"/>
              </w:rPr>
            </w:pPr>
            <w:r w:rsidRPr="00D53DC5">
              <w:rPr>
                <w:rFonts w:ascii="Cambria" w:hAnsi="Cambria"/>
                <w:sz w:val="22"/>
                <w:szCs w:val="22"/>
              </w:rPr>
              <w:t>East Ayrshire, East Dunbartonshire, East Renfrewshire, Glasgow City, Inverclyde, North Ayrshire, North Lanarkshire, Renfrewshire, South Ayrshire, South Lanarkshire, West Dunbartonshire</w:t>
            </w:r>
          </w:p>
        </w:tc>
      </w:tr>
    </w:tbl>
    <w:p w:rsidR="00274079" w:rsidRPr="00D53DC5" w:rsidRDefault="00274079" w:rsidP="009344B1">
      <w:pPr>
        <w:jc w:val="both"/>
        <w:rPr>
          <w:rFonts w:ascii="Cambria" w:hAnsi="Cambria"/>
          <w:sz w:val="22"/>
          <w:szCs w:val="22"/>
        </w:rPr>
      </w:pPr>
    </w:p>
    <w:p w:rsidR="009344B1" w:rsidRPr="00D53DC5" w:rsidRDefault="009344B1" w:rsidP="00C10F3B">
      <w:pPr>
        <w:jc w:val="both"/>
        <w:rPr>
          <w:rFonts w:ascii="Cambria" w:hAnsi="Cambria"/>
          <w:sz w:val="22"/>
          <w:szCs w:val="22"/>
        </w:rPr>
      </w:pPr>
      <w:r w:rsidRPr="00D53DC5">
        <w:rPr>
          <w:rFonts w:ascii="Cambria" w:hAnsi="Cambria"/>
          <w:sz w:val="22"/>
          <w:szCs w:val="22"/>
        </w:rPr>
        <w:t>Thus, ten more areas were added to the analysis.</w:t>
      </w:r>
    </w:p>
    <w:p w:rsidR="009344B1" w:rsidRPr="00D53DC5" w:rsidRDefault="009344B1" w:rsidP="00C10F3B">
      <w:pPr>
        <w:jc w:val="both"/>
        <w:rPr>
          <w:rFonts w:ascii="Cambria" w:hAnsi="Cambria"/>
          <w:b/>
          <w:sz w:val="22"/>
          <w:szCs w:val="22"/>
        </w:rPr>
      </w:pPr>
    </w:p>
    <w:tbl>
      <w:tblPr>
        <w:tblW w:w="5796" w:type="dxa"/>
        <w:tblInd w:w="108" w:type="dxa"/>
        <w:tblLook w:val="04A0" w:firstRow="1" w:lastRow="0" w:firstColumn="1" w:lastColumn="0" w:noHBand="0" w:noVBand="1"/>
      </w:tblPr>
      <w:tblGrid>
        <w:gridCol w:w="5796"/>
      </w:tblGrid>
      <w:tr w:rsidR="009344B1" w:rsidRPr="00D53DC5">
        <w:trPr>
          <w:trHeight w:val="288"/>
        </w:trPr>
        <w:tc>
          <w:tcPr>
            <w:tcW w:w="5796" w:type="dxa"/>
            <w:tcBorders>
              <w:top w:val="nil"/>
              <w:left w:val="nil"/>
              <w:bottom w:val="nil"/>
              <w:right w:val="nil"/>
            </w:tcBorders>
            <w:shd w:val="clear" w:color="auto" w:fill="auto"/>
            <w:noWrap/>
            <w:vAlign w:val="bottom"/>
          </w:tcPr>
          <w:p w:rsidR="009344B1" w:rsidRPr="00D53DC5" w:rsidRDefault="009344B1"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40 - North Wales</w:t>
            </w:r>
          </w:p>
        </w:tc>
      </w:tr>
      <w:tr w:rsidR="009344B1" w:rsidRPr="00D53DC5">
        <w:trPr>
          <w:trHeight w:val="288"/>
        </w:trPr>
        <w:tc>
          <w:tcPr>
            <w:tcW w:w="5796" w:type="dxa"/>
            <w:tcBorders>
              <w:top w:val="nil"/>
              <w:left w:val="nil"/>
              <w:bottom w:val="nil"/>
              <w:right w:val="nil"/>
            </w:tcBorders>
            <w:shd w:val="clear" w:color="auto" w:fill="auto"/>
            <w:noWrap/>
            <w:vAlign w:val="bottom"/>
          </w:tcPr>
          <w:p w:rsidR="009344B1" w:rsidRPr="00D53DC5" w:rsidRDefault="009344B1"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41 - Mid Wales</w:t>
            </w:r>
          </w:p>
        </w:tc>
      </w:tr>
      <w:tr w:rsidR="009344B1" w:rsidRPr="00D53DC5">
        <w:trPr>
          <w:trHeight w:val="288"/>
        </w:trPr>
        <w:tc>
          <w:tcPr>
            <w:tcW w:w="5796" w:type="dxa"/>
            <w:tcBorders>
              <w:top w:val="nil"/>
              <w:left w:val="nil"/>
              <w:bottom w:val="nil"/>
              <w:right w:val="nil"/>
            </w:tcBorders>
            <w:shd w:val="clear" w:color="auto" w:fill="auto"/>
            <w:noWrap/>
            <w:vAlign w:val="bottom"/>
          </w:tcPr>
          <w:p w:rsidR="009344B1" w:rsidRPr="00D53DC5" w:rsidRDefault="009344B1"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42 - South West Wales</w:t>
            </w:r>
          </w:p>
        </w:tc>
      </w:tr>
      <w:tr w:rsidR="009344B1" w:rsidRPr="00D53DC5">
        <w:trPr>
          <w:trHeight w:val="288"/>
        </w:trPr>
        <w:tc>
          <w:tcPr>
            <w:tcW w:w="5796" w:type="dxa"/>
            <w:tcBorders>
              <w:top w:val="nil"/>
              <w:left w:val="nil"/>
              <w:bottom w:val="nil"/>
              <w:right w:val="nil"/>
            </w:tcBorders>
            <w:shd w:val="clear" w:color="auto" w:fill="auto"/>
            <w:noWrap/>
            <w:vAlign w:val="bottom"/>
          </w:tcPr>
          <w:p w:rsidR="009344B1" w:rsidRPr="00D53DC5" w:rsidRDefault="009344B1"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43 - South East Wales</w:t>
            </w:r>
          </w:p>
        </w:tc>
      </w:tr>
      <w:tr w:rsidR="009344B1" w:rsidRPr="00D53DC5">
        <w:trPr>
          <w:trHeight w:val="288"/>
        </w:trPr>
        <w:tc>
          <w:tcPr>
            <w:tcW w:w="5796" w:type="dxa"/>
            <w:tcBorders>
              <w:top w:val="nil"/>
              <w:left w:val="nil"/>
              <w:bottom w:val="nil"/>
              <w:right w:val="nil"/>
            </w:tcBorders>
            <w:shd w:val="clear" w:color="auto" w:fill="auto"/>
            <w:noWrap/>
            <w:vAlign w:val="bottom"/>
          </w:tcPr>
          <w:p w:rsidR="009344B1" w:rsidRPr="00D53DC5" w:rsidRDefault="009344B1"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44 - Aberdeen City and Shire</w:t>
            </w:r>
          </w:p>
        </w:tc>
      </w:tr>
      <w:tr w:rsidR="009344B1" w:rsidRPr="00D53DC5">
        <w:trPr>
          <w:trHeight w:val="288"/>
        </w:trPr>
        <w:tc>
          <w:tcPr>
            <w:tcW w:w="5796" w:type="dxa"/>
            <w:tcBorders>
              <w:top w:val="nil"/>
              <w:left w:val="nil"/>
              <w:bottom w:val="nil"/>
              <w:right w:val="nil"/>
            </w:tcBorders>
            <w:shd w:val="clear" w:color="auto" w:fill="auto"/>
            <w:noWrap/>
            <w:vAlign w:val="bottom"/>
          </w:tcPr>
          <w:p w:rsidR="009344B1" w:rsidRPr="00D53DC5" w:rsidRDefault="009344B1"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45 - East of Scotland</w:t>
            </w:r>
          </w:p>
        </w:tc>
      </w:tr>
      <w:tr w:rsidR="009344B1" w:rsidRPr="00D53DC5">
        <w:trPr>
          <w:trHeight w:val="288"/>
        </w:trPr>
        <w:tc>
          <w:tcPr>
            <w:tcW w:w="5796" w:type="dxa"/>
            <w:tcBorders>
              <w:top w:val="nil"/>
              <w:left w:val="nil"/>
              <w:bottom w:val="nil"/>
              <w:right w:val="nil"/>
            </w:tcBorders>
            <w:shd w:val="clear" w:color="auto" w:fill="auto"/>
            <w:noWrap/>
            <w:vAlign w:val="bottom"/>
          </w:tcPr>
          <w:p w:rsidR="009344B1" w:rsidRPr="00D53DC5" w:rsidRDefault="009344B1"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46 - Highlands and Islands Enterprise</w:t>
            </w:r>
          </w:p>
        </w:tc>
      </w:tr>
      <w:tr w:rsidR="009344B1" w:rsidRPr="00D53DC5">
        <w:trPr>
          <w:trHeight w:val="288"/>
        </w:trPr>
        <w:tc>
          <w:tcPr>
            <w:tcW w:w="5796" w:type="dxa"/>
            <w:tcBorders>
              <w:top w:val="nil"/>
              <w:left w:val="nil"/>
              <w:bottom w:val="nil"/>
              <w:right w:val="nil"/>
            </w:tcBorders>
            <w:shd w:val="clear" w:color="auto" w:fill="auto"/>
            <w:noWrap/>
            <w:vAlign w:val="bottom"/>
          </w:tcPr>
          <w:p w:rsidR="009344B1" w:rsidRPr="00D53DC5" w:rsidRDefault="009344B1"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lastRenderedPageBreak/>
              <w:t>47 - South of Scotland</w:t>
            </w:r>
          </w:p>
        </w:tc>
      </w:tr>
      <w:tr w:rsidR="009344B1" w:rsidRPr="00D53DC5">
        <w:trPr>
          <w:trHeight w:val="288"/>
        </w:trPr>
        <w:tc>
          <w:tcPr>
            <w:tcW w:w="5796" w:type="dxa"/>
            <w:tcBorders>
              <w:top w:val="nil"/>
              <w:left w:val="nil"/>
              <w:bottom w:val="nil"/>
              <w:right w:val="nil"/>
            </w:tcBorders>
            <w:shd w:val="clear" w:color="auto" w:fill="auto"/>
            <w:noWrap/>
            <w:vAlign w:val="bottom"/>
          </w:tcPr>
          <w:p w:rsidR="009344B1" w:rsidRPr="00D53DC5" w:rsidRDefault="009344B1"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 xml:space="preserve">48 </w:t>
            </w:r>
            <w:r w:rsidR="001067F7">
              <w:rPr>
                <w:rFonts w:ascii="Cambria" w:eastAsia="Times New Roman" w:hAnsi="Cambria" w:cs="Calibri"/>
                <w:color w:val="000000"/>
                <w:sz w:val="22"/>
                <w:szCs w:val="22"/>
                <w:lang w:eastAsia="en-GB"/>
              </w:rPr>
              <w:t>–</w:t>
            </w:r>
            <w:r w:rsidRPr="00D53DC5">
              <w:rPr>
                <w:rFonts w:ascii="Cambria" w:eastAsia="Times New Roman" w:hAnsi="Cambria" w:cs="Calibri"/>
                <w:color w:val="000000"/>
                <w:sz w:val="22"/>
                <w:szCs w:val="22"/>
                <w:lang w:eastAsia="en-GB"/>
              </w:rPr>
              <w:t xml:space="preserve"> Tayside</w:t>
            </w:r>
          </w:p>
        </w:tc>
      </w:tr>
      <w:tr w:rsidR="009344B1" w:rsidRPr="00D53DC5">
        <w:trPr>
          <w:trHeight w:val="288"/>
        </w:trPr>
        <w:tc>
          <w:tcPr>
            <w:tcW w:w="5796" w:type="dxa"/>
            <w:tcBorders>
              <w:top w:val="nil"/>
              <w:left w:val="nil"/>
              <w:bottom w:val="nil"/>
              <w:right w:val="nil"/>
            </w:tcBorders>
            <w:shd w:val="clear" w:color="auto" w:fill="auto"/>
            <w:noWrap/>
            <w:vAlign w:val="bottom"/>
          </w:tcPr>
          <w:p w:rsidR="009344B1" w:rsidRPr="00D53DC5" w:rsidRDefault="009344B1" w:rsidP="004B7F1D">
            <w:pPr>
              <w:rPr>
                <w:rFonts w:ascii="Cambria" w:eastAsia="Times New Roman" w:hAnsi="Cambria" w:cs="Calibri"/>
                <w:color w:val="000000"/>
                <w:sz w:val="22"/>
                <w:szCs w:val="22"/>
                <w:lang w:eastAsia="en-GB"/>
              </w:rPr>
            </w:pPr>
            <w:r w:rsidRPr="00D53DC5">
              <w:rPr>
                <w:rFonts w:ascii="Cambria" w:eastAsia="Times New Roman" w:hAnsi="Cambria" w:cs="Calibri"/>
                <w:color w:val="000000"/>
                <w:sz w:val="22"/>
                <w:szCs w:val="22"/>
                <w:lang w:eastAsia="en-GB"/>
              </w:rPr>
              <w:t>49 - West of Scotland</w:t>
            </w:r>
          </w:p>
        </w:tc>
      </w:tr>
    </w:tbl>
    <w:p w:rsidR="00CB33E7" w:rsidRPr="001067F7" w:rsidRDefault="00CB33E7" w:rsidP="00CB33E7">
      <w:pPr>
        <w:ind w:left="567" w:hanging="567"/>
        <w:jc w:val="both"/>
        <w:rPr>
          <w:rFonts w:ascii="Cambria" w:hAnsi="Cambria"/>
          <w:b/>
          <w:sz w:val="28"/>
          <w:szCs w:val="28"/>
        </w:rPr>
      </w:pPr>
      <w:r w:rsidRPr="00D53DC5">
        <w:rPr>
          <w:rFonts w:ascii="Cambria" w:hAnsi="Cambria"/>
          <w:b/>
          <w:sz w:val="22"/>
          <w:szCs w:val="22"/>
        </w:rPr>
        <w:br w:type="page"/>
      </w:r>
      <w:r w:rsidRPr="001067F7">
        <w:rPr>
          <w:rFonts w:ascii="Cambria" w:hAnsi="Cambria"/>
          <w:b/>
          <w:sz w:val="28"/>
          <w:szCs w:val="28"/>
        </w:rPr>
        <w:lastRenderedPageBreak/>
        <w:t>Annex B</w:t>
      </w:r>
      <w:r w:rsidR="00451028" w:rsidRPr="001067F7">
        <w:rPr>
          <w:rFonts w:ascii="Cambria" w:hAnsi="Cambria"/>
          <w:b/>
          <w:sz w:val="28"/>
          <w:szCs w:val="28"/>
        </w:rPr>
        <w:t>: Industrial Sectors</w:t>
      </w:r>
    </w:p>
    <w:p w:rsidR="00CB33E7" w:rsidRPr="00087359" w:rsidRDefault="00CB33E7" w:rsidP="00087359">
      <w:pPr>
        <w:spacing w:before="100" w:beforeAutospacing="1" w:after="100" w:afterAutospacing="1" w:line="480" w:lineRule="auto"/>
        <w:jc w:val="both"/>
        <w:rPr>
          <w:rFonts w:ascii="Cambria" w:hAnsi="Cambria"/>
        </w:rPr>
      </w:pPr>
      <w:r w:rsidRPr="00087359">
        <w:rPr>
          <w:rFonts w:ascii="Cambria" w:hAnsi="Cambria"/>
        </w:rPr>
        <w:t xml:space="preserve">The employment data used in the analysis for this paper come from the UK Office of National Statistics and are constructed from LAD level.  The real GVA data are obtained by applying region and sector-specific productivity to the employment data, </w:t>
      </w:r>
      <w:r w:rsidR="007B5290" w:rsidRPr="00087359">
        <w:rPr>
          <w:rFonts w:ascii="Cambria" w:hAnsi="Cambria"/>
        </w:rPr>
        <w:t>i.e.</w:t>
      </w:r>
      <w:r w:rsidRPr="00087359">
        <w:rPr>
          <w:rFonts w:ascii="Cambria" w:hAnsi="Cambria"/>
        </w:rPr>
        <w:t xml:space="preserve"> any given sector in any given LAD in the same region is assumed to have the same productivity developments. Data for 23 industries were used, based on the 2-digit industrial level, aggregated in certain cases as shown in the Table below.</w:t>
      </w:r>
    </w:p>
    <w:tbl>
      <w:tblPr>
        <w:tblW w:w="7898" w:type="dxa"/>
        <w:tblInd w:w="83" w:type="dxa"/>
        <w:tblLook w:val="0000" w:firstRow="0" w:lastRow="0" w:firstColumn="0" w:lastColumn="0" w:noHBand="0" w:noVBand="0"/>
      </w:tblPr>
      <w:tblGrid>
        <w:gridCol w:w="4278"/>
        <w:gridCol w:w="3620"/>
      </w:tblGrid>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CB33E7" w:rsidP="004B7F1D">
            <w:pPr>
              <w:rPr>
                <w:rFonts w:ascii="Cambria" w:hAnsi="Cambria"/>
                <w:b/>
                <w:sz w:val="22"/>
                <w:szCs w:val="22"/>
              </w:rPr>
            </w:pPr>
            <w:r w:rsidRPr="00D53DC5">
              <w:rPr>
                <w:rFonts w:ascii="Cambria" w:hAnsi="Cambria"/>
                <w:b/>
                <w:sz w:val="22"/>
                <w:szCs w:val="22"/>
              </w:rPr>
              <w:t>Industry Name</w:t>
            </w:r>
          </w:p>
        </w:tc>
        <w:tc>
          <w:tcPr>
            <w:tcW w:w="3620" w:type="dxa"/>
            <w:tcBorders>
              <w:top w:val="nil"/>
              <w:left w:val="nil"/>
              <w:bottom w:val="nil"/>
              <w:right w:val="nil"/>
            </w:tcBorders>
          </w:tcPr>
          <w:p w:rsidR="00CB33E7" w:rsidRPr="00D53DC5" w:rsidRDefault="00CB33E7" w:rsidP="004B7F1D">
            <w:pPr>
              <w:rPr>
                <w:rFonts w:ascii="Cambria" w:hAnsi="Cambria"/>
                <w:b/>
                <w:sz w:val="22"/>
                <w:szCs w:val="22"/>
              </w:rPr>
            </w:pPr>
            <w:r w:rsidRPr="00D53DC5">
              <w:rPr>
                <w:rFonts w:ascii="Cambria" w:hAnsi="Cambria"/>
                <w:b/>
                <w:sz w:val="22"/>
                <w:szCs w:val="22"/>
              </w:rPr>
              <w:t>2-Digit Industry Codes (SIC 2003)</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CB33E7" w:rsidP="004B7F1D">
            <w:pPr>
              <w:rPr>
                <w:rFonts w:ascii="Cambria" w:hAnsi="Cambria"/>
                <w:sz w:val="22"/>
                <w:szCs w:val="22"/>
              </w:rPr>
            </w:pPr>
            <w:r w:rsidRPr="00D53DC5">
              <w:rPr>
                <w:rFonts w:ascii="Cambria" w:hAnsi="Cambria"/>
                <w:sz w:val="22"/>
                <w:szCs w:val="22"/>
              </w:rPr>
              <w:t>Agriculture etc</w:t>
            </w:r>
          </w:p>
        </w:tc>
        <w:tc>
          <w:tcPr>
            <w:tcW w:w="3620" w:type="dxa"/>
            <w:tcBorders>
              <w:top w:val="nil"/>
              <w:left w:val="nil"/>
              <w:bottom w:val="nil"/>
              <w:right w:val="nil"/>
            </w:tcBorders>
          </w:tcPr>
          <w:p w:rsidR="00CB33E7" w:rsidRPr="00D53DC5" w:rsidRDefault="00CB33E7" w:rsidP="004B7F1D">
            <w:pPr>
              <w:rPr>
                <w:rFonts w:ascii="Cambria" w:hAnsi="Cambria"/>
                <w:sz w:val="22"/>
                <w:szCs w:val="22"/>
              </w:rPr>
            </w:pPr>
            <w:r w:rsidRPr="00D53DC5">
              <w:rPr>
                <w:rFonts w:ascii="Cambria" w:hAnsi="Cambria"/>
                <w:sz w:val="22"/>
                <w:szCs w:val="22"/>
              </w:rPr>
              <w:t>01, 02, 05</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CB33E7" w:rsidP="004B7F1D">
            <w:pPr>
              <w:rPr>
                <w:rFonts w:ascii="Cambria" w:hAnsi="Cambria"/>
                <w:sz w:val="22"/>
                <w:szCs w:val="22"/>
              </w:rPr>
            </w:pPr>
            <w:r w:rsidRPr="00D53DC5">
              <w:rPr>
                <w:rFonts w:ascii="Cambria" w:hAnsi="Cambria"/>
                <w:sz w:val="22"/>
                <w:szCs w:val="22"/>
              </w:rPr>
              <w:t>Food, drink &amp; tobacco</w:t>
            </w:r>
          </w:p>
        </w:tc>
        <w:tc>
          <w:tcPr>
            <w:tcW w:w="3620" w:type="dxa"/>
            <w:tcBorders>
              <w:top w:val="nil"/>
              <w:left w:val="nil"/>
              <w:bottom w:val="nil"/>
              <w:right w:val="nil"/>
            </w:tcBorders>
          </w:tcPr>
          <w:p w:rsidR="00CB33E7" w:rsidRPr="00D53DC5" w:rsidRDefault="00CB33E7" w:rsidP="004B7F1D">
            <w:pPr>
              <w:rPr>
                <w:rFonts w:ascii="Cambria" w:hAnsi="Cambria"/>
                <w:sz w:val="22"/>
                <w:szCs w:val="22"/>
              </w:rPr>
            </w:pPr>
            <w:r w:rsidRPr="00D53DC5">
              <w:rPr>
                <w:rFonts w:ascii="Cambria" w:hAnsi="Cambria"/>
                <w:sz w:val="22"/>
                <w:szCs w:val="22"/>
              </w:rPr>
              <w:t>15, 16</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CB33E7" w:rsidP="004B7F1D">
            <w:pPr>
              <w:rPr>
                <w:rFonts w:ascii="Cambria" w:hAnsi="Cambria"/>
                <w:sz w:val="22"/>
                <w:szCs w:val="22"/>
              </w:rPr>
            </w:pPr>
            <w:r w:rsidRPr="00D53DC5">
              <w:rPr>
                <w:rFonts w:ascii="Cambria" w:hAnsi="Cambria"/>
                <w:sz w:val="22"/>
                <w:szCs w:val="22"/>
              </w:rPr>
              <w:t>Textiles, clothing &amp; leather</w:t>
            </w:r>
          </w:p>
        </w:tc>
        <w:tc>
          <w:tcPr>
            <w:tcW w:w="3620" w:type="dxa"/>
            <w:tcBorders>
              <w:top w:val="nil"/>
              <w:left w:val="nil"/>
              <w:bottom w:val="nil"/>
              <w:right w:val="nil"/>
            </w:tcBorders>
          </w:tcPr>
          <w:p w:rsidR="00CB33E7" w:rsidRPr="00D53DC5" w:rsidRDefault="00CB33E7" w:rsidP="004B7F1D">
            <w:pPr>
              <w:rPr>
                <w:rFonts w:ascii="Cambria" w:hAnsi="Cambria"/>
                <w:sz w:val="22"/>
                <w:szCs w:val="22"/>
              </w:rPr>
            </w:pPr>
            <w:r w:rsidRPr="00D53DC5">
              <w:rPr>
                <w:rFonts w:ascii="Cambria" w:hAnsi="Cambria"/>
                <w:sz w:val="22"/>
                <w:szCs w:val="22"/>
              </w:rPr>
              <w:t>17, 18, 19</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CB33E7" w:rsidP="004B7F1D">
            <w:pPr>
              <w:rPr>
                <w:rFonts w:ascii="Cambria" w:hAnsi="Cambria"/>
                <w:sz w:val="22"/>
                <w:szCs w:val="22"/>
              </w:rPr>
            </w:pPr>
            <w:r w:rsidRPr="00D53DC5">
              <w:rPr>
                <w:rFonts w:ascii="Cambria" w:hAnsi="Cambria"/>
                <w:sz w:val="22"/>
                <w:szCs w:val="22"/>
              </w:rPr>
              <w:t>Wood &amp; paper</w:t>
            </w:r>
          </w:p>
        </w:tc>
        <w:tc>
          <w:tcPr>
            <w:tcW w:w="3620" w:type="dxa"/>
            <w:tcBorders>
              <w:top w:val="nil"/>
              <w:left w:val="nil"/>
              <w:bottom w:val="nil"/>
              <w:right w:val="nil"/>
            </w:tcBorders>
          </w:tcPr>
          <w:p w:rsidR="00CB33E7" w:rsidRPr="00D53DC5" w:rsidRDefault="00CB33E7" w:rsidP="004B7F1D">
            <w:pPr>
              <w:rPr>
                <w:rFonts w:ascii="Cambria" w:hAnsi="Cambria"/>
                <w:sz w:val="22"/>
                <w:szCs w:val="22"/>
              </w:rPr>
            </w:pPr>
            <w:r w:rsidRPr="00D53DC5">
              <w:rPr>
                <w:rFonts w:ascii="Cambria" w:hAnsi="Cambria"/>
                <w:sz w:val="22"/>
                <w:szCs w:val="22"/>
              </w:rPr>
              <w:t>20, 21</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CB33E7" w:rsidP="004B7F1D">
            <w:pPr>
              <w:rPr>
                <w:rFonts w:ascii="Cambria" w:hAnsi="Cambria"/>
                <w:sz w:val="22"/>
                <w:szCs w:val="22"/>
              </w:rPr>
            </w:pPr>
            <w:r w:rsidRPr="00D53DC5">
              <w:rPr>
                <w:rFonts w:ascii="Cambria" w:hAnsi="Cambria"/>
                <w:sz w:val="22"/>
                <w:szCs w:val="22"/>
              </w:rPr>
              <w:t>Printing &amp; publishing</w:t>
            </w:r>
          </w:p>
        </w:tc>
        <w:tc>
          <w:tcPr>
            <w:tcW w:w="3620" w:type="dxa"/>
            <w:tcBorders>
              <w:top w:val="nil"/>
              <w:left w:val="nil"/>
              <w:bottom w:val="nil"/>
              <w:right w:val="nil"/>
            </w:tcBorders>
          </w:tcPr>
          <w:p w:rsidR="00CB33E7" w:rsidRPr="00D53DC5" w:rsidRDefault="00CB33E7" w:rsidP="004B7F1D">
            <w:pPr>
              <w:rPr>
                <w:rFonts w:ascii="Cambria" w:hAnsi="Cambria"/>
                <w:sz w:val="22"/>
                <w:szCs w:val="22"/>
              </w:rPr>
            </w:pPr>
            <w:r w:rsidRPr="00D53DC5">
              <w:rPr>
                <w:rFonts w:ascii="Cambria" w:hAnsi="Cambria"/>
                <w:sz w:val="22"/>
                <w:szCs w:val="22"/>
              </w:rPr>
              <w:t>22</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CB33E7" w:rsidP="004B7F1D">
            <w:pPr>
              <w:rPr>
                <w:rFonts w:ascii="Cambria" w:hAnsi="Cambria"/>
                <w:sz w:val="22"/>
                <w:szCs w:val="22"/>
              </w:rPr>
            </w:pPr>
            <w:r w:rsidRPr="00D53DC5">
              <w:rPr>
                <w:rFonts w:ascii="Cambria" w:hAnsi="Cambria"/>
                <w:sz w:val="22"/>
                <w:szCs w:val="22"/>
              </w:rPr>
              <w:t>Fuels and Chemicals</w:t>
            </w:r>
            <w:r w:rsidR="00617980" w:rsidRPr="00D53DC5">
              <w:rPr>
                <w:rFonts w:ascii="Cambria" w:hAnsi="Cambria"/>
                <w:sz w:val="22"/>
                <w:szCs w:val="22"/>
              </w:rPr>
              <w:t>, Rubber &amp; plastic products</w:t>
            </w:r>
          </w:p>
        </w:tc>
        <w:tc>
          <w:tcPr>
            <w:tcW w:w="3620" w:type="dxa"/>
            <w:tcBorders>
              <w:top w:val="nil"/>
              <w:left w:val="nil"/>
              <w:bottom w:val="nil"/>
              <w:right w:val="nil"/>
            </w:tcBorders>
          </w:tcPr>
          <w:p w:rsidR="00CB33E7" w:rsidRPr="00D53DC5" w:rsidRDefault="00CB33E7" w:rsidP="004B7F1D">
            <w:pPr>
              <w:rPr>
                <w:rFonts w:ascii="Cambria" w:hAnsi="Cambria"/>
                <w:sz w:val="22"/>
                <w:szCs w:val="22"/>
              </w:rPr>
            </w:pPr>
            <w:r w:rsidRPr="00D53DC5">
              <w:rPr>
                <w:rFonts w:ascii="Cambria" w:hAnsi="Cambria"/>
                <w:sz w:val="22"/>
                <w:szCs w:val="22"/>
              </w:rPr>
              <w:t>23, 24</w:t>
            </w:r>
            <w:r w:rsidR="00617980" w:rsidRPr="00D53DC5">
              <w:rPr>
                <w:rFonts w:ascii="Cambria" w:hAnsi="Cambria"/>
                <w:sz w:val="22"/>
                <w:szCs w:val="22"/>
              </w:rPr>
              <w:t>, 25</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617980" w:rsidP="004B7F1D">
            <w:pPr>
              <w:rPr>
                <w:rFonts w:ascii="Cambria" w:hAnsi="Cambria"/>
                <w:sz w:val="22"/>
                <w:szCs w:val="22"/>
              </w:rPr>
            </w:pPr>
            <w:r w:rsidRPr="00D53DC5">
              <w:rPr>
                <w:rFonts w:ascii="Cambria" w:hAnsi="Cambria"/>
                <w:sz w:val="22"/>
                <w:szCs w:val="22"/>
              </w:rPr>
              <w:t xml:space="preserve">Mining &amp; Quarrying, </w:t>
            </w:r>
            <w:r w:rsidR="00CB33E7" w:rsidRPr="00D53DC5">
              <w:rPr>
                <w:rFonts w:ascii="Cambria" w:hAnsi="Cambria"/>
                <w:sz w:val="22"/>
                <w:szCs w:val="22"/>
              </w:rPr>
              <w:t>Non-metal &amp; mineral products</w:t>
            </w:r>
          </w:p>
        </w:tc>
        <w:tc>
          <w:tcPr>
            <w:tcW w:w="3620" w:type="dxa"/>
            <w:tcBorders>
              <w:top w:val="nil"/>
              <w:left w:val="nil"/>
              <w:bottom w:val="nil"/>
              <w:right w:val="nil"/>
            </w:tcBorders>
          </w:tcPr>
          <w:p w:rsidR="00CB33E7" w:rsidRPr="00D53DC5" w:rsidRDefault="00617980" w:rsidP="004B7F1D">
            <w:pPr>
              <w:rPr>
                <w:rFonts w:ascii="Cambria" w:hAnsi="Cambria"/>
                <w:sz w:val="22"/>
                <w:szCs w:val="22"/>
              </w:rPr>
            </w:pPr>
            <w:r w:rsidRPr="00D53DC5">
              <w:rPr>
                <w:rFonts w:ascii="Cambria" w:hAnsi="Cambria"/>
                <w:sz w:val="22"/>
                <w:szCs w:val="22"/>
              </w:rPr>
              <w:t xml:space="preserve">10, 11, 12, 13, 14, </w:t>
            </w:r>
            <w:r w:rsidR="00CB33E7" w:rsidRPr="00D53DC5">
              <w:rPr>
                <w:rFonts w:ascii="Cambria" w:hAnsi="Cambria"/>
                <w:sz w:val="22"/>
                <w:szCs w:val="22"/>
              </w:rPr>
              <w:t>26</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CB33E7" w:rsidP="004B7F1D">
            <w:pPr>
              <w:rPr>
                <w:rFonts w:ascii="Cambria" w:hAnsi="Cambria"/>
                <w:sz w:val="22"/>
                <w:szCs w:val="22"/>
              </w:rPr>
            </w:pPr>
            <w:r w:rsidRPr="00D53DC5">
              <w:rPr>
                <w:rFonts w:ascii="Cambria" w:hAnsi="Cambria"/>
                <w:sz w:val="22"/>
                <w:szCs w:val="22"/>
              </w:rPr>
              <w:t>Basic metals &amp; metal products</w:t>
            </w:r>
          </w:p>
        </w:tc>
        <w:tc>
          <w:tcPr>
            <w:tcW w:w="3620" w:type="dxa"/>
            <w:tcBorders>
              <w:top w:val="nil"/>
              <w:left w:val="nil"/>
              <w:bottom w:val="nil"/>
              <w:right w:val="nil"/>
            </w:tcBorders>
          </w:tcPr>
          <w:p w:rsidR="00CB33E7" w:rsidRPr="00D53DC5" w:rsidRDefault="00CB33E7" w:rsidP="004B7F1D">
            <w:pPr>
              <w:rPr>
                <w:rFonts w:ascii="Cambria" w:hAnsi="Cambria"/>
                <w:sz w:val="22"/>
                <w:szCs w:val="22"/>
              </w:rPr>
            </w:pPr>
            <w:r w:rsidRPr="00D53DC5">
              <w:rPr>
                <w:rFonts w:ascii="Cambria" w:hAnsi="Cambria"/>
                <w:sz w:val="22"/>
                <w:szCs w:val="22"/>
              </w:rPr>
              <w:t>27</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CB33E7" w:rsidP="004B7F1D">
            <w:pPr>
              <w:rPr>
                <w:rFonts w:ascii="Cambria" w:hAnsi="Cambria"/>
                <w:sz w:val="22"/>
                <w:szCs w:val="22"/>
              </w:rPr>
            </w:pPr>
            <w:r w:rsidRPr="00D53DC5">
              <w:rPr>
                <w:rFonts w:ascii="Cambria" w:hAnsi="Cambria"/>
                <w:sz w:val="22"/>
                <w:szCs w:val="22"/>
              </w:rPr>
              <w:t>Mechanical engineering</w:t>
            </w:r>
          </w:p>
        </w:tc>
        <w:tc>
          <w:tcPr>
            <w:tcW w:w="3620" w:type="dxa"/>
            <w:tcBorders>
              <w:top w:val="nil"/>
              <w:left w:val="nil"/>
              <w:bottom w:val="nil"/>
              <w:right w:val="nil"/>
            </w:tcBorders>
          </w:tcPr>
          <w:p w:rsidR="00CB33E7" w:rsidRPr="00D53DC5" w:rsidRDefault="00CB33E7" w:rsidP="004B7F1D">
            <w:pPr>
              <w:rPr>
                <w:rFonts w:ascii="Cambria" w:hAnsi="Cambria"/>
                <w:sz w:val="22"/>
                <w:szCs w:val="22"/>
              </w:rPr>
            </w:pPr>
            <w:r w:rsidRPr="00D53DC5">
              <w:rPr>
                <w:rFonts w:ascii="Cambria" w:hAnsi="Cambria"/>
                <w:sz w:val="22"/>
                <w:szCs w:val="22"/>
              </w:rPr>
              <w:t>28, 29</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CB33E7" w:rsidP="004B7F1D">
            <w:pPr>
              <w:rPr>
                <w:rFonts w:ascii="Cambria" w:hAnsi="Cambria"/>
                <w:sz w:val="22"/>
                <w:szCs w:val="22"/>
              </w:rPr>
            </w:pPr>
            <w:r w:rsidRPr="00D53DC5">
              <w:rPr>
                <w:rFonts w:ascii="Cambria" w:hAnsi="Cambria"/>
                <w:sz w:val="22"/>
                <w:szCs w:val="22"/>
              </w:rPr>
              <w:t>Electron., elec., inst. Engineering</w:t>
            </w:r>
          </w:p>
        </w:tc>
        <w:tc>
          <w:tcPr>
            <w:tcW w:w="3620" w:type="dxa"/>
            <w:tcBorders>
              <w:top w:val="nil"/>
              <w:left w:val="nil"/>
              <w:bottom w:val="nil"/>
              <w:right w:val="nil"/>
            </w:tcBorders>
          </w:tcPr>
          <w:p w:rsidR="00CB33E7" w:rsidRPr="00D53DC5" w:rsidRDefault="00CB33E7" w:rsidP="004B7F1D">
            <w:pPr>
              <w:rPr>
                <w:rFonts w:ascii="Cambria" w:hAnsi="Cambria"/>
                <w:sz w:val="22"/>
                <w:szCs w:val="22"/>
              </w:rPr>
            </w:pPr>
            <w:r w:rsidRPr="00D53DC5">
              <w:rPr>
                <w:rFonts w:ascii="Cambria" w:hAnsi="Cambria"/>
                <w:sz w:val="22"/>
                <w:szCs w:val="22"/>
              </w:rPr>
              <w:t>30, 31, 32, 33</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617980" w:rsidP="004B7F1D">
            <w:pPr>
              <w:rPr>
                <w:rFonts w:ascii="Cambria" w:hAnsi="Cambria"/>
                <w:sz w:val="22"/>
                <w:szCs w:val="22"/>
              </w:rPr>
            </w:pPr>
            <w:r w:rsidRPr="00D53DC5">
              <w:rPr>
                <w:rFonts w:ascii="Cambria" w:hAnsi="Cambria"/>
                <w:sz w:val="22"/>
                <w:szCs w:val="22"/>
              </w:rPr>
              <w:t>Transport equipment</w:t>
            </w:r>
          </w:p>
        </w:tc>
        <w:tc>
          <w:tcPr>
            <w:tcW w:w="3620" w:type="dxa"/>
            <w:tcBorders>
              <w:top w:val="nil"/>
              <w:left w:val="nil"/>
              <w:bottom w:val="nil"/>
              <w:right w:val="nil"/>
            </w:tcBorders>
          </w:tcPr>
          <w:p w:rsidR="00CB33E7" w:rsidRPr="00D53DC5" w:rsidRDefault="00CB33E7" w:rsidP="004B7F1D">
            <w:pPr>
              <w:rPr>
                <w:rFonts w:ascii="Cambria" w:hAnsi="Cambria"/>
                <w:sz w:val="22"/>
                <w:szCs w:val="22"/>
              </w:rPr>
            </w:pPr>
            <w:r w:rsidRPr="00D53DC5">
              <w:rPr>
                <w:rFonts w:ascii="Cambria" w:hAnsi="Cambria"/>
                <w:sz w:val="22"/>
                <w:szCs w:val="22"/>
              </w:rPr>
              <w:t>34</w:t>
            </w:r>
            <w:r w:rsidR="00617980" w:rsidRPr="00D53DC5">
              <w:rPr>
                <w:rFonts w:ascii="Cambria" w:hAnsi="Cambria"/>
                <w:sz w:val="22"/>
                <w:szCs w:val="22"/>
              </w:rPr>
              <w:t>, 35</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CB33E7" w:rsidP="004B7F1D">
            <w:pPr>
              <w:rPr>
                <w:rFonts w:ascii="Cambria" w:hAnsi="Cambria"/>
                <w:sz w:val="22"/>
                <w:szCs w:val="22"/>
              </w:rPr>
            </w:pPr>
            <w:r w:rsidRPr="00D53DC5">
              <w:rPr>
                <w:rFonts w:ascii="Cambria" w:hAnsi="Cambria"/>
                <w:sz w:val="22"/>
                <w:szCs w:val="22"/>
              </w:rPr>
              <w:t>Other manufacturing</w:t>
            </w:r>
          </w:p>
        </w:tc>
        <w:tc>
          <w:tcPr>
            <w:tcW w:w="3620" w:type="dxa"/>
            <w:tcBorders>
              <w:top w:val="nil"/>
              <w:left w:val="nil"/>
              <w:bottom w:val="nil"/>
              <w:right w:val="nil"/>
            </w:tcBorders>
          </w:tcPr>
          <w:p w:rsidR="00CB33E7" w:rsidRPr="00D53DC5" w:rsidRDefault="00CB33E7" w:rsidP="004B7F1D">
            <w:pPr>
              <w:rPr>
                <w:rFonts w:ascii="Cambria" w:hAnsi="Cambria"/>
                <w:sz w:val="22"/>
                <w:szCs w:val="22"/>
              </w:rPr>
            </w:pPr>
            <w:r w:rsidRPr="00D53DC5">
              <w:rPr>
                <w:rFonts w:ascii="Cambria" w:hAnsi="Cambria"/>
                <w:sz w:val="22"/>
                <w:szCs w:val="22"/>
              </w:rPr>
              <w:t>36, 37</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CB33E7" w:rsidP="004B7F1D">
            <w:pPr>
              <w:rPr>
                <w:rFonts w:ascii="Cambria" w:hAnsi="Cambria"/>
                <w:sz w:val="22"/>
                <w:szCs w:val="22"/>
              </w:rPr>
            </w:pPr>
            <w:r w:rsidRPr="00D53DC5">
              <w:rPr>
                <w:rFonts w:ascii="Cambria" w:hAnsi="Cambria"/>
                <w:sz w:val="22"/>
                <w:szCs w:val="22"/>
              </w:rPr>
              <w:t>Electricity, gas &amp; water</w:t>
            </w:r>
          </w:p>
        </w:tc>
        <w:tc>
          <w:tcPr>
            <w:tcW w:w="3620" w:type="dxa"/>
            <w:tcBorders>
              <w:top w:val="nil"/>
              <w:left w:val="nil"/>
              <w:bottom w:val="nil"/>
              <w:right w:val="nil"/>
            </w:tcBorders>
          </w:tcPr>
          <w:p w:rsidR="00CB33E7" w:rsidRPr="00D53DC5" w:rsidRDefault="00CB33E7" w:rsidP="004B7F1D">
            <w:pPr>
              <w:rPr>
                <w:rFonts w:ascii="Cambria" w:hAnsi="Cambria"/>
                <w:sz w:val="22"/>
                <w:szCs w:val="22"/>
              </w:rPr>
            </w:pPr>
            <w:r w:rsidRPr="00D53DC5">
              <w:rPr>
                <w:rFonts w:ascii="Cambria" w:hAnsi="Cambria"/>
                <w:sz w:val="22"/>
                <w:szCs w:val="22"/>
              </w:rPr>
              <w:t>40, 41</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CB33E7" w:rsidP="004B7F1D">
            <w:pPr>
              <w:rPr>
                <w:rFonts w:ascii="Cambria" w:hAnsi="Cambria"/>
                <w:sz w:val="22"/>
                <w:szCs w:val="22"/>
              </w:rPr>
            </w:pPr>
            <w:r w:rsidRPr="00D53DC5">
              <w:rPr>
                <w:rFonts w:ascii="Cambria" w:hAnsi="Cambria"/>
                <w:sz w:val="22"/>
                <w:szCs w:val="22"/>
              </w:rPr>
              <w:t>Construction</w:t>
            </w:r>
          </w:p>
        </w:tc>
        <w:tc>
          <w:tcPr>
            <w:tcW w:w="3620" w:type="dxa"/>
            <w:tcBorders>
              <w:top w:val="nil"/>
              <w:left w:val="nil"/>
              <w:bottom w:val="nil"/>
              <w:right w:val="nil"/>
            </w:tcBorders>
          </w:tcPr>
          <w:p w:rsidR="00CB33E7" w:rsidRPr="00D53DC5" w:rsidRDefault="00CB33E7" w:rsidP="004B7F1D">
            <w:pPr>
              <w:rPr>
                <w:rFonts w:ascii="Cambria" w:hAnsi="Cambria"/>
                <w:sz w:val="22"/>
                <w:szCs w:val="22"/>
              </w:rPr>
            </w:pPr>
            <w:r w:rsidRPr="00D53DC5">
              <w:rPr>
                <w:rFonts w:ascii="Cambria" w:hAnsi="Cambria"/>
                <w:sz w:val="22"/>
                <w:szCs w:val="22"/>
              </w:rPr>
              <w:t>45</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CB33E7" w:rsidP="004B7F1D">
            <w:pPr>
              <w:rPr>
                <w:rFonts w:ascii="Cambria" w:hAnsi="Cambria"/>
                <w:sz w:val="22"/>
                <w:szCs w:val="22"/>
              </w:rPr>
            </w:pPr>
            <w:r w:rsidRPr="00D53DC5">
              <w:rPr>
                <w:rFonts w:ascii="Cambria" w:hAnsi="Cambria"/>
                <w:sz w:val="22"/>
                <w:szCs w:val="22"/>
              </w:rPr>
              <w:t>Distribution</w:t>
            </w:r>
          </w:p>
        </w:tc>
        <w:tc>
          <w:tcPr>
            <w:tcW w:w="3620" w:type="dxa"/>
            <w:tcBorders>
              <w:top w:val="nil"/>
              <w:left w:val="nil"/>
              <w:bottom w:val="nil"/>
              <w:right w:val="nil"/>
            </w:tcBorders>
          </w:tcPr>
          <w:p w:rsidR="00CB33E7" w:rsidRPr="00D53DC5" w:rsidRDefault="00CB33E7" w:rsidP="004B7F1D">
            <w:pPr>
              <w:rPr>
                <w:rFonts w:ascii="Cambria" w:hAnsi="Cambria"/>
                <w:sz w:val="22"/>
                <w:szCs w:val="22"/>
              </w:rPr>
            </w:pPr>
            <w:r w:rsidRPr="00D53DC5">
              <w:rPr>
                <w:rFonts w:ascii="Cambria" w:hAnsi="Cambria"/>
                <w:sz w:val="22"/>
                <w:szCs w:val="22"/>
              </w:rPr>
              <w:t>50, 51</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CB33E7" w:rsidP="004B7F1D">
            <w:pPr>
              <w:rPr>
                <w:rFonts w:ascii="Cambria" w:hAnsi="Cambria"/>
                <w:sz w:val="22"/>
                <w:szCs w:val="22"/>
              </w:rPr>
            </w:pPr>
            <w:r w:rsidRPr="00D53DC5">
              <w:rPr>
                <w:rFonts w:ascii="Cambria" w:hAnsi="Cambria"/>
                <w:sz w:val="22"/>
                <w:szCs w:val="22"/>
              </w:rPr>
              <w:t>Retailing</w:t>
            </w:r>
          </w:p>
        </w:tc>
        <w:tc>
          <w:tcPr>
            <w:tcW w:w="3620" w:type="dxa"/>
            <w:tcBorders>
              <w:top w:val="nil"/>
              <w:left w:val="nil"/>
              <w:bottom w:val="nil"/>
              <w:right w:val="nil"/>
            </w:tcBorders>
          </w:tcPr>
          <w:p w:rsidR="00CB33E7" w:rsidRPr="00D53DC5" w:rsidRDefault="00CB33E7" w:rsidP="004B7F1D">
            <w:pPr>
              <w:rPr>
                <w:rFonts w:ascii="Cambria" w:hAnsi="Cambria"/>
                <w:sz w:val="22"/>
                <w:szCs w:val="22"/>
              </w:rPr>
            </w:pPr>
            <w:r w:rsidRPr="00D53DC5">
              <w:rPr>
                <w:rFonts w:ascii="Cambria" w:hAnsi="Cambria"/>
                <w:sz w:val="22"/>
                <w:szCs w:val="22"/>
              </w:rPr>
              <w:t>52</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CB33E7" w:rsidP="004B7F1D">
            <w:pPr>
              <w:rPr>
                <w:rFonts w:ascii="Cambria" w:hAnsi="Cambria"/>
                <w:sz w:val="22"/>
                <w:szCs w:val="22"/>
              </w:rPr>
            </w:pPr>
            <w:r w:rsidRPr="00D53DC5">
              <w:rPr>
                <w:rFonts w:ascii="Cambria" w:hAnsi="Cambria"/>
                <w:sz w:val="22"/>
                <w:szCs w:val="22"/>
              </w:rPr>
              <w:t>Hotels &amp; catering</w:t>
            </w:r>
          </w:p>
        </w:tc>
        <w:tc>
          <w:tcPr>
            <w:tcW w:w="3620" w:type="dxa"/>
            <w:tcBorders>
              <w:top w:val="nil"/>
              <w:left w:val="nil"/>
              <w:bottom w:val="nil"/>
              <w:right w:val="nil"/>
            </w:tcBorders>
          </w:tcPr>
          <w:p w:rsidR="00CB33E7" w:rsidRPr="00D53DC5" w:rsidRDefault="00CB33E7" w:rsidP="004B7F1D">
            <w:pPr>
              <w:rPr>
                <w:rFonts w:ascii="Cambria" w:hAnsi="Cambria"/>
                <w:sz w:val="22"/>
                <w:szCs w:val="22"/>
              </w:rPr>
            </w:pPr>
            <w:r w:rsidRPr="00D53DC5">
              <w:rPr>
                <w:rFonts w:ascii="Cambria" w:hAnsi="Cambria"/>
                <w:sz w:val="22"/>
                <w:szCs w:val="22"/>
              </w:rPr>
              <w:t>53</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CB33E7" w:rsidP="004B7F1D">
            <w:pPr>
              <w:rPr>
                <w:rFonts w:ascii="Cambria" w:hAnsi="Cambria"/>
                <w:sz w:val="22"/>
                <w:szCs w:val="22"/>
              </w:rPr>
            </w:pPr>
            <w:r w:rsidRPr="00D53DC5">
              <w:rPr>
                <w:rFonts w:ascii="Cambria" w:hAnsi="Cambria"/>
                <w:sz w:val="22"/>
                <w:szCs w:val="22"/>
              </w:rPr>
              <w:t>Transport &amp; communications</w:t>
            </w:r>
          </w:p>
        </w:tc>
        <w:tc>
          <w:tcPr>
            <w:tcW w:w="3620" w:type="dxa"/>
            <w:tcBorders>
              <w:top w:val="nil"/>
              <w:left w:val="nil"/>
              <w:bottom w:val="nil"/>
              <w:right w:val="nil"/>
            </w:tcBorders>
          </w:tcPr>
          <w:p w:rsidR="00CB33E7" w:rsidRPr="00D53DC5" w:rsidRDefault="00CB33E7" w:rsidP="004B7F1D">
            <w:pPr>
              <w:rPr>
                <w:rFonts w:ascii="Cambria" w:hAnsi="Cambria"/>
                <w:sz w:val="22"/>
                <w:szCs w:val="22"/>
              </w:rPr>
            </w:pPr>
            <w:r w:rsidRPr="00D53DC5">
              <w:rPr>
                <w:rFonts w:ascii="Cambria" w:hAnsi="Cambria"/>
                <w:sz w:val="22"/>
                <w:szCs w:val="22"/>
              </w:rPr>
              <w:t>60, 61, 62, 63, 64</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CB33E7" w:rsidP="004B7F1D">
            <w:pPr>
              <w:rPr>
                <w:rFonts w:ascii="Cambria" w:hAnsi="Cambria"/>
                <w:sz w:val="22"/>
                <w:szCs w:val="22"/>
              </w:rPr>
            </w:pPr>
            <w:r w:rsidRPr="00D53DC5">
              <w:rPr>
                <w:rFonts w:ascii="Cambria" w:hAnsi="Cambria"/>
                <w:sz w:val="22"/>
                <w:szCs w:val="22"/>
              </w:rPr>
              <w:t>Banking &amp; finance</w:t>
            </w:r>
            <w:r w:rsidR="00617980" w:rsidRPr="00D53DC5">
              <w:rPr>
                <w:rFonts w:ascii="Cambria" w:hAnsi="Cambria"/>
                <w:sz w:val="22"/>
                <w:szCs w:val="22"/>
              </w:rPr>
              <w:t>, Insurance</w:t>
            </w:r>
          </w:p>
        </w:tc>
        <w:tc>
          <w:tcPr>
            <w:tcW w:w="3620" w:type="dxa"/>
            <w:tcBorders>
              <w:top w:val="nil"/>
              <w:left w:val="nil"/>
              <w:bottom w:val="nil"/>
              <w:right w:val="nil"/>
            </w:tcBorders>
          </w:tcPr>
          <w:p w:rsidR="00CB33E7" w:rsidRPr="00D53DC5" w:rsidRDefault="00CB33E7" w:rsidP="004B7F1D">
            <w:pPr>
              <w:rPr>
                <w:rFonts w:ascii="Cambria" w:hAnsi="Cambria"/>
                <w:sz w:val="22"/>
                <w:szCs w:val="22"/>
              </w:rPr>
            </w:pPr>
            <w:r w:rsidRPr="00D53DC5">
              <w:rPr>
                <w:rFonts w:ascii="Cambria" w:hAnsi="Cambria"/>
                <w:sz w:val="22"/>
                <w:szCs w:val="22"/>
              </w:rPr>
              <w:t>65</w:t>
            </w:r>
            <w:r w:rsidR="00617980" w:rsidRPr="00D53DC5">
              <w:rPr>
                <w:rFonts w:ascii="Cambria" w:hAnsi="Cambria"/>
                <w:sz w:val="22"/>
                <w:szCs w:val="22"/>
              </w:rPr>
              <w:t>, 66</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CB33E7" w:rsidP="004B7F1D">
            <w:pPr>
              <w:rPr>
                <w:rFonts w:ascii="Cambria" w:hAnsi="Cambria"/>
                <w:sz w:val="22"/>
                <w:szCs w:val="22"/>
              </w:rPr>
            </w:pPr>
            <w:r w:rsidRPr="00D53DC5">
              <w:rPr>
                <w:rFonts w:ascii="Cambria" w:hAnsi="Cambria"/>
                <w:sz w:val="22"/>
                <w:szCs w:val="22"/>
              </w:rPr>
              <w:t>Other business services</w:t>
            </w:r>
          </w:p>
        </w:tc>
        <w:tc>
          <w:tcPr>
            <w:tcW w:w="3620" w:type="dxa"/>
            <w:tcBorders>
              <w:top w:val="nil"/>
              <w:left w:val="nil"/>
              <w:bottom w:val="nil"/>
              <w:right w:val="nil"/>
            </w:tcBorders>
          </w:tcPr>
          <w:p w:rsidR="00CB33E7" w:rsidRPr="00D53DC5" w:rsidRDefault="00CB33E7" w:rsidP="004B7F1D">
            <w:pPr>
              <w:rPr>
                <w:rFonts w:ascii="Cambria" w:hAnsi="Cambria"/>
                <w:sz w:val="22"/>
                <w:szCs w:val="22"/>
              </w:rPr>
            </w:pPr>
            <w:r w:rsidRPr="00D53DC5">
              <w:rPr>
                <w:rFonts w:ascii="Cambria" w:hAnsi="Cambria"/>
                <w:sz w:val="22"/>
                <w:szCs w:val="22"/>
              </w:rPr>
              <w:t>67, 68, 70, 71, 72, 73, 74</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CB33E7" w:rsidP="004B7F1D">
            <w:pPr>
              <w:rPr>
                <w:rFonts w:ascii="Cambria" w:hAnsi="Cambria"/>
                <w:sz w:val="22"/>
                <w:szCs w:val="22"/>
              </w:rPr>
            </w:pPr>
            <w:r w:rsidRPr="00D53DC5">
              <w:rPr>
                <w:rFonts w:ascii="Cambria" w:hAnsi="Cambria"/>
                <w:sz w:val="22"/>
                <w:szCs w:val="22"/>
              </w:rPr>
              <w:t xml:space="preserve">Public admin. &amp; </w:t>
            </w:r>
            <w:r w:rsidR="007B5290" w:rsidRPr="00D53DC5">
              <w:rPr>
                <w:rFonts w:ascii="Cambria" w:hAnsi="Cambria"/>
                <w:sz w:val="22"/>
                <w:szCs w:val="22"/>
              </w:rPr>
              <w:t>defense</w:t>
            </w:r>
          </w:p>
        </w:tc>
        <w:tc>
          <w:tcPr>
            <w:tcW w:w="3620" w:type="dxa"/>
            <w:tcBorders>
              <w:top w:val="nil"/>
              <w:left w:val="nil"/>
              <w:bottom w:val="nil"/>
              <w:right w:val="nil"/>
            </w:tcBorders>
          </w:tcPr>
          <w:p w:rsidR="00CB33E7" w:rsidRPr="00D53DC5" w:rsidRDefault="00CB33E7" w:rsidP="004B7F1D">
            <w:pPr>
              <w:rPr>
                <w:rFonts w:ascii="Cambria" w:hAnsi="Cambria"/>
                <w:sz w:val="22"/>
                <w:szCs w:val="22"/>
              </w:rPr>
            </w:pPr>
            <w:r w:rsidRPr="00D53DC5">
              <w:rPr>
                <w:rFonts w:ascii="Cambria" w:hAnsi="Cambria"/>
                <w:sz w:val="22"/>
                <w:szCs w:val="22"/>
              </w:rPr>
              <w:t>75</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CB33E7" w:rsidP="004B7F1D">
            <w:pPr>
              <w:rPr>
                <w:rFonts w:ascii="Cambria" w:hAnsi="Cambria"/>
                <w:sz w:val="22"/>
                <w:szCs w:val="22"/>
              </w:rPr>
            </w:pPr>
            <w:r w:rsidRPr="00D53DC5">
              <w:rPr>
                <w:rFonts w:ascii="Cambria" w:hAnsi="Cambria"/>
                <w:sz w:val="22"/>
                <w:szCs w:val="22"/>
              </w:rPr>
              <w:t>Education &amp; health</w:t>
            </w:r>
          </w:p>
        </w:tc>
        <w:tc>
          <w:tcPr>
            <w:tcW w:w="3620" w:type="dxa"/>
            <w:tcBorders>
              <w:top w:val="nil"/>
              <w:left w:val="nil"/>
              <w:bottom w:val="nil"/>
              <w:right w:val="nil"/>
            </w:tcBorders>
          </w:tcPr>
          <w:p w:rsidR="00CB33E7" w:rsidRPr="00D53DC5" w:rsidRDefault="00CB33E7" w:rsidP="004B7F1D">
            <w:pPr>
              <w:rPr>
                <w:rFonts w:ascii="Cambria" w:hAnsi="Cambria"/>
                <w:sz w:val="22"/>
                <w:szCs w:val="22"/>
              </w:rPr>
            </w:pPr>
            <w:r w:rsidRPr="00D53DC5">
              <w:rPr>
                <w:rFonts w:ascii="Cambria" w:hAnsi="Cambria"/>
                <w:sz w:val="22"/>
                <w:szCs w:val="22"/>
              </w:rPr>
              <w:t>80, 85</w:t>
            </w:r>
          </w:p>
        </w:tc>
      </w:tr>
      <w:tr w:rsidR="00CB33E7" w:rsidRPr="00D53DC5">
        <w:trPr>
          <w:trHeight w:val="280"/>
        </w:trPr>
        <w:tc>
          <w:tcPr>
            <w:tcW w:w="4278" w:type="dxa"/>
            <w:tcBorders>
              <w:top w:val="nil"/>
              <w:left w:val="nil"/>
              <w:bottom w:val="nil"/>
              <w:right w:val="nil"/>
            </w:tcBorders>
            <w:shd w:val="clear" w:color="auto" w:fill="auto"/>
            <w:noWrap/>
            <w:vAlign w:val="bottom"/>
          </w:tcPr>
          <w:p w:rsidR="00CB33E7" w:rsidRPr="00D53DC5" w:rsidRDefault="00CB33E7" w:rsidP="004B7F1D">
            <w:pPr>
              <w:rPr>
                <w:rFonts w:ascii="Cambria" w:hAnsi="Cambria"/>
                <w:sz w:val="22"/>
                <w:szCs w:val="22"/>
              </w:rPr>
            </w:pPr>
            <w:r w:rsidRPr="00D53DC5">
              <w:rPr>
                <w:rFonts w:ascii="Cambria" w:hAnsi="Cambria"/>
                <w:sz w:val="22"/>
                <w:szCs w:val="22"/>
              </w:rPr>
              <w:t>Other services</w:t>
            </w:r>
          </w:p>
        </w:tc>
        <w:tc>
          <w:tcPr>
            <w:tcW w:w="3620" w:type="dxa"/>
            <w:tcBorders>
              <w:top w:val="nil"/>
              <w:left w:val="nil"/>
              <w:bottom w:val="nil"/>
              <w:right w:val="nil"/>
            </w:tcBorders>
          </w:tcPr>
          <w:p w:rsidR="00CB33E7" w:rsidRPr="00D53DC5" w:rsidRDefault="00CB33E7" w:rsidP="004B7F1D">
            <w:pPr>
              <w:rPr>
                <w:rFonts w:ascii="Cambria" w:hAnsi="Cambria"/>
                <w:sz w:val="22"/>
                <w:szCs w:val="22"/>
              </w:rPr>
            </w:pPr>
            <w:r w:rsidRPr="00D53DC5">
              <w:rPr>
                <w:rFonts w:ascii="Cambria" w:hAnsi="Cambria"/>
                <w:sz w:val="22"/>
                <w:szCs w:val="22"/>
              </w:rPr>
              <w:t>90, 91, 92, 93, 95, 96, 97, 99</w:t>
            </w:r>
          </w:p>
        </w:tc>
      </w:tr>
    </w:tbl>
    <w:p w:rsidR="00CB33E7" w:rsidRPr="00D53DC5" w:rsidRDefault="00CB33E7" w:rsidP="00CB33E7">
      <w:pPr>
        <w:spacing w:line="320" w:lineRule="exact"/>
        <w:jc w:val="both"/>
        <w:rPr>
          <w:rFonts w:ascii="Cambria" w:hAnsi="Cambria"/>
          <w:sz w:val="22"/>
          <w:szCs w:val="22"/>
        </w:rPr>
      </w:pPr>
    </w:p>
    <w:p w:rsidR="00FD16AC" w:rsidRDefault="00FD16AC" w:rsidP="00C10F3B">
      <w:pPr>
        <w:jc w:val="both"/>
        <w:rPr>
          <w:rFonts w:ascii="Cambria" w:hAnsi="Cambria"/>
          <w:b/>
          <w:sz w:val="28"/>
          <w:szCs w:val="28"/>
        </w:rPr>
      </w:pPr>
      <w:r w:rsidRPr="00D53DC5">
        <w:rPr>
          <w:rFonts w:ascii="Cambria" w:hAnsi="Cambria"/>
          <w:b/>
          <w:sz w:val="22"/>
          <w:szCs w:val="22"/>
        </w:rPr>
        <w:br w:type="page"/>
      </w:r>
      <w:r w:rsidR="004B7F1D" w:rsidRPr="001067F7">
        <w:rPr>
          <w:rFonts w:ascii="Cambria" w:hAnsi="Cambria"/>
          <w:b/>
          <w:sz w:val="28"/>
          <w:szCs w:val="28"/>
        </w:rPr>
        <w:lastRenderedPageBreak/>
        <w:t>Annex C. Relative Population Density</w:t>
      </w:r>
    </w:p>
    <w:p w:rsidR="001067F7" w:rsidRPr="001067F7" w:rsidRDefault="001067F7" w:rsidP="00C10F3B">
      <w:pPr>
        <w:jc w:val="both"/>
        <w:rPr>
          <w:rFonts w:ascii="Cambria" w:hAnsi="Cambria"/>
          <w:b/>
          <w:sz w:val="28"/>
          <w:szCs w:val="28"/>
        </w:rPr>
      </w:pPr>
    </w:p>
    <w:tbl>
      <w:tblPr>
        <w:tblW w:w="8222" w:type="dxa"/>
        <w:tblInd w:w="108" w:type="dxa"/>
        <w:tblLook w:val="04A0" w:firstRow="1" w:lastRow="0" w:firstColumn="1" w:lastColumn="0" w:noHBand="0" w:noVBand="1"/>
      </w:tblPr>
      <w:tblGrid>
        <w:gridCol w:w="4630"/>
        <w:gridCol w:w="1749"/>
        <w:gridCol w:w="1843"/>
      </w:tblGrid>
      <w:tr w:rsidR="00FD16AC" w:rsidRPr="00D53DC5">
        <w:trPr>
          <w:trHeight w:val="300"/>
          <w:tblHeader/>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p>
        </w:tc>
        <w:tc>
          <w:tcPr>
            <w:tcW w:w="1749" w:type="dxa"/>
            <w:tcBorders>
              <w:top w:val="nil"/>
              <w:left w:val="nil"/>
              <w:bottom w:val="nil"/>
              <w:right w:val="nil"/>
            </w:tcBorders>
            <w:shd w:val="clear" w:color="auto" w:fill="auto"/>
            <w:vAlign w:val="bottom"/>
          </w:tcPr>
          <w:p w:rsidR="00FD16AC" w:rsidRPr="00D53DC5" w:rsidRDefault="00FD16AC" w:rsidP="00FD16AC">
            <w:pPr>
              <w:rPr>
                <w:rFonts w:ascii="Cambria" w:eastAsia="Times New Roman" w:hAnsi="Cambria" w:cs="Calibri"/>
                <w:b/>
                <w:bCs/>
                <w:color w:val="000000"/>
                <w:sz w:val="22"/>
                <w:szCs w:val="22"/>
                <w:lang w:val="en-GB" w:eastAsia="en-GB"/>
              </w:rPr>
            </w:pPr>
            <w:r w:rsidRPr="00D53DC5">
              <w:rPr>
                <w:rFonts w:ascii="Cambria" w:eastAsia="Times New Roman" w:hAnsi="Cambria" w:cs="Calibri"/>
                <w:b/>
                <w:bCs/>
                <w:color w:val="000000"/>
                <w:sz w:val="22"/>
                <w:szCs w:val="22"/>
                <w:lang w:val="en-GB" w:eastAsia="en-GB"/>
              </w:rPr>
              <w:t>RPOP</w:t>
            </w:r>
          </w:p>
        </w:tc>
        <w:tc>
          <w:tcPr>
            <w:tcW w:w="1843" w:type="dxa"/>
            <w:tcBorders>
              <w:top w:val="nil"/>
              <w:left w:val="nil"/>
              <w:bottom w:val="nil"/>
              <w:right w:val="nil"/>
            </w:tcBorders>
            <w:shd w:val="clear" w:color="auto" w:fill="auto"/>
            <w:noWrap/>
            <w:vAlign w:val="bottom"/>
          </w:tcPr>
          <w:p w:rsidR="00FD16AC" w:rsidRPr="00D53DC5" w:rsidRDefault="007B5290" w:rsidP="00FD16AC">
            <w:pPr>
              <w:rPr>
                <w:rFonts w:ascii="Cambria" w:eastAsia="Times New Roman" w:hAnsi="Cambria" w:cs="Calibri"/>
                <w:b/>
                <w:bCs/>
                <w:color w:val="000000"/>
                <w:sz w:val="22"/>
                <w:szCs w:val="22"/>
                <w:lang w:val="en-GB" w:eastAsia="en-GB"/>
              </w:rPr>
            </w:pPr>
            <w:r w:rsidRPr="00D53DC5">
              <w:rPr>
                <w:rFonts w:ascii="Cambria" w:eastAsia="Times New Roman" w:hAnsi="Cambria" w:cs="Calibri"/>
                <w:b/>
                <w:bCs/>
                <w:color w:val="000000"/>
                <w:sz w:val="22"/>
                <w:szCs w:val="22"/>
                <w:lang w:val="en-GB" w:eastAsia="en-GB"/>
              </w:rPr>
              <w:t>Urban Rural</w:t>
            </w:r>
          </w:p>
        </w:tc>
      </w:tr>
      <w:tr w:rsidR="00FD16AC" w:rsidRPr="00D53DC5">
        <w:trPr>
          <w:trHeight w:val="645"/>
          <w:tblHeader/>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p>
        </w:tc>
        <w:tc>
          <w:tcPr>
            <w:tcW w:w="1749" w:type="dxa"/>
            <w:tcBorders>
              <w:top w:val="nil"/>
              <w:left w:val="nil"/>
              <w:bottom w:val="nil"/>
              <w:right w:val="nil"/>
            </w:tcBorders>
            <w:shd w:val="clear" w:color="auto" w:fill="auto"/>
            <w:vAlign w:val="bottom"/>
          </w:tcPr>
          <w:p w:rsidR="00FD16AC" w:rsidRPr="00D53DC5" w:rsidRDefault="00FD16AC" w:rsidP="00FD16AC">
            <w:pPr>
              <w:rPr>
                <w:rFonts w:ascii="Cambria" w:eastAsia="Times New Roman" w:hAnsi="Cambria" w:cs="Calibri"/>
                <w:b/>
                <w:bCs/>
                <w:color w:val="000000"/>
                <w:sz w:val="22"/>
                <w:szCs w:val="22"/>
                <w:lang w:val="en-GB" w:eastAsia="en-GB"/>
              </w:rPr>
            </w:pPr>
            <w:r w:rsidRPr="00D53DC5">
              <w:rPr>
                <w:rFonts w:ascii="Cambria" w:eastAsia="Times New Roman" w:hAnsi="Cambria" w:cs="Calibri"/>
                <w:b/>
                <w:bCs/>
                <w:color w:val="000000"/>
                <w:sz w:val="22"/>
                <w:szCs w:val="22"/>
                <w:lang w:val="en-GB" w:eastAsia="en-GB"/>
              </w:rPr>
              <w:t>Relative Population Density (1981, GB=1)</w:t>
            </w:r>
          </w:p>
        </w:tc>
        <w:tc>
          <w:tcPr>
            <w:tcW w:w="1843"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Highlands and Islands Enterprise</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0.05</w:t>
            </w:r>
          </w:p>
        </w:tc>
        <w:tc>
          <w:tcPr>
            <w:tcW w:w="1843"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Very Rural</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South of Scotland</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0.10</w:t>
            </w:r>
          </w:p>
        </w:tc>
        <w:tc>
          <w:tcPr>
            <w:tcW w:w="1843"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Very Rural</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North Wales</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0.26</w:t>
            </w:r>
          </w:p>
        </w:tc>
        <w:tc>
          <w:tcPr>
            <w:tcW w:w="1843"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Very Rural</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Mid Wales</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0.27</w:t>
            </w:r>
          </w:p>
        </w:tc>
        <w:tc>
          <w:tcPr>
            <w:tcW w:w="1843"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Very Rural</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Aberdeen City and Shire</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0.28</w:t>
            </w:r>
          </w:p>
        </w:tc>
        <w:tc>
          <w:tcPr>
            <w:tcW w:w="1843"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Very Rural</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Tayside</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0.29</w:t>
            </w:r>
          </w:p>
        </w:tc>
        <w:tc>
          <w:tcPr>
            <w:tcW w:w="1843"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Very Rural</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Cumbria</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0.30</w:t>
            </w:r>
          </w:p>
        </w:tc>
        <w:tc>
          <w:tcPr>
            <w:tcW w:w="1843"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Very Rural</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York and North Yorkshire</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0.40</w:t>
            </w:r>
          </w:p>
        </w:tc>
        <w:tc>
          <w:tcPr>
            <w:tcW w:w="1843"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Very Rural</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The Marches</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0.44</w:t>
            </w:r>
          </w:p>
        </w:tc>
        <w:tc>
          <w:tcPr>
            <w:tcW w:w="1843"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Very Rural</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Cornwall and Isles of Scilly</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0.52</w:t>
            </w:r>
          </w:p>
        </w:tc>
        <w:tc>
          <w:tcPr>
            <w:tcW w:w="1843"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Very Rural</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Lincolnshire</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0.52</w:t>
            </w:r>
          </w:p>
        </w:tc>
        <w:tc>
          <w:tcPr>
            <w:tcW w:w="1843"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Very Rural</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New Anglia</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0.63</w:t>
            </w:r>
          </w:p>
        </w:tc>
        <w:tc>
          <w:tcPr>
            <w:tcW w:w="1843"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Rural</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Greater Cambridge and Greater Peterborough</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0.65</w:t>
            </w:r>
          </w:p>
        </w:tc>
        <w:tc>
          <w:tcPr>
            <w:tcW w:w="1843"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Rural</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Swindon and Wiltshire</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0.69</w:t>
            </w:r>
          </w:p>
        </w:tc>
        <w:tc>
          <w:tcPr>
            <w:tcW w:w="1843"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Rural</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Gloucestershire</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0.85</w:t>
            </w:r>
          </w:p>
        </w:tc>
        <w:tc>
          <w:tcPr>
            <w:tcW w:w="1843"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Rural</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Oxfordshire</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0.94</w:t>
            </w:r>
          </w:p>
        </w:tc>
        <w:tc>
          <w:tcPr>
            <w:tcW w:w="1843"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Rural</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Dorset</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1.01</w:t>
            </w:r>
          </w:p>
        </w:tc>
        <w:tc>
          <w:tcPr>
            <w:tcW w:w="1843"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Rural</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Northamptonshire</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1.02</w:t>
            </w:r>
          </w:p>
        </w:tc>
        <w:tc>
          <w:tcPr>
            <w:tcW w:w="1843" w:type="dxa"/>
            <w:tcBorders>
              <w:top w:val="nil"/>
              <w:left w:val="nil"/>
              <w:bottom w:val="nil"/>
              <w:right w:val="nil"/>
            </w:tcBorders>
            <w:shd w:val="clear" w:color="auto" w:fill="auto"/>
            <w:noWrap/>
            <w:vAlign w:val="bottom"/>
          </w:tcPr>
          <w:p w:rsidR="00FD16AC" w:rsidRPr="00D53DC5" w:rsidRDefault="00CB4380" w:rsidP="00FD16AC">
            <w:pPr>
              <w:rPr>
                <w:rFonts w:ascii="Cambria" w:eastAsia="Times New Roman" w:hAnsi="Cambria" w:cs="Calibri"/>
                <w:color w:val="000000"/>
                <w:sz w:val="22"/>
                <w:szCs w:val="22"/>
                <w:lang w:val="en-GB" w:eastAsia="en-GB"/>
              </w:rPr>
            </w:pPr>
            <w:r>
              <w:rPr>
                <w:rFonts w:ascii="Cambria" w:eastAsia="Times New Roman" w:hAnsi="Cambria" w:cs="Calibri"/>
                <w:color w:val="000000"/>
                <w:sz w:val="22"/>
                <w:szCs w:val="22"/>
                <w:lang w:val="en-GB" w:eastAsia="en-GB"/>
              </w:rPr>
              <w:t>Semi-Urban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South West Wales</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1.06</w:t>
            </w:r>
          </w:p>
        </w:tc>
        <w:tc>
          <w:tcPr>
            <w:tcW w:w="1843" w:type="dxa"/>
            <w:tcBorders>
              <w:top w:val="nil"/>
              <w:left w:val="nil"/>
              <w:bottom w:val="nil"/>
              <w:right w:val="nil"/>
            </w:tcBorders>
            <w:shd w:val="clear" w:color="auto" w:fill="auto"/>
            <w:noWrap/>
            <w:vAlign w:val="bottom"/>
          </w:tcPr>
          <w:p w:rsidR="00FD16AC" w:rsidRPr="00D53DC5" w:rsidRDefault="004E19EA" w:rsidP="00FD16AC">
            <w:pPr>
              <w:rPr>
                <w:rFonts w:ascii="Cambria" w:eastAsia="Times New Roman" w:hAnsi="Cambria" w:cs="Calibri"/>
                <w:color w:val="000000"/>
                <w:sz w:val="22"/>
                <w:szCs w:val="22"/>
                <w:lang w:val="en-GB" w:eastAsia="en-GB"/>
              </w:rPr>
            </w:pPr>
            <w:r>
              <w:rPr>
                <w:rFonts w:ascii="Cambria" w:eastAsia="Times New Roman" w:hAnsi="Cambria" w:cs="Calibri"/>
                <w:color w:val="000000"/>
                <w:sz w:val="22"/>
                <w:szCs w:val="22"/>
                <w:lang w:val="en-GB" w:eastAsia="en-GB"/>
              </w:rPr>
              <w:t>Semi-Urban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North Eastern</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1.14</w:t>
            </w:r>
          </w:p>
        </w:tc>
        <w:tc>
          <w:tcPr>
            <w:tcW w:w="1843" w:type="dxa"/>
            <w:tcBorders>
              <w:top w:val="nil"/>
              <w:left w:val="nil"/>
              <w:bottom w:val="nil"/>
              <w:right w:val="nil"/>
            </w:tcBorders>
            <w:shd w:val="clear" w:color="auto" w:fill="auto"/>
            <w:noWrap/>
            <w:vAlign w:val="bottom"/>
          </w:tcPr>
          <w:p w:rsidR="00FD16AC" w:rsidRPr="00D53DC5" w:rsidRDefault="004E19EA" w:rsidP="00FD16AC">
            <w:pPr>
              <w:rPr>
                <w:rFonts w:ascii="Cambria" w:eastAsia="Times New Roman" w:hAnsi="Cambria" w:cs="Calibri"/>
                <w:color w:val="000000"/>
                <w:sz w:val="22"/>
                <w:szCs w:val="22"/>
                <w:lang w:val="en-GB" w:eastAsia="en-GB"/>
              </w:rPr>
            </w:pPr>
            <w:r>
              <w:rPr>
                <w:rFonts w:ascii="Cambria" w:eastAsia="Times New Roman" w:hAnsi="Cambria" w:cs="Calibri"/>
                <w:color w:val="000000"/>
                <w:sz w:val="22"/>
                <w:szCs w:val="22"/>
                <w:lang w:val="en-GB" w:eastAsia="en-GB"/>
              </w:rPr>
              <w:t>Semi-Urban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Heart of the South West</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1.15</w:t>
            </w:r>
          </w:p>
        </w:tc>
        <w:tc>
          <w:tcPr>
            <w:tcW w:w="1843" w:type="dxa"/>
            <w:tcBorders>
              <w:top w:val="nil"/>
              <w:left w:val="nil"/>
              <w:bottom w:val="nil"/>
              <w:right w:val="nil"/>
            </w:tcBorders>
            <w:shd w:val="clear" w:color="auto" w:fill="auto"/>
            <w:noWrap/>
            <w:vAlign w:val="bottom"/>
          </w:tcPr>
          <w:p w:rsidR="00FD16AC" w:rsidRPr="00D53DC5" w:rsidRDefault="004E19EA" w:rsidP="00FD16AC">
            <w:pPr>
              <w:rPr>
                <w:rFonts w:ascii="Cambria" w:eastAsia="Times New Roman" w:hAnsi="Cambria" w:cs="Calibri"/>
                <w:color w:val="000000"/>
                <w:sz w:val="22"/>
                <w:szCs w:val="22"/>
                <w:lang w:val="en-GB" w:eastAsia="en-GB"/>
              </w:rPr>
            </w:pPr>
            <w:r>
              <w:rPr>
                <w:rFonts w:ascii="Cambria" w:eastAsia="Times New Roman" w:hAnsi="Cambria" w:cs="Calibri"/>
                <w:color w:val="000000"/>
                <w:sz w:val="22"/>
                <w:szCs w:val="22"/>
                <w:lang w:val="en-GB" w:eastAsia="en-GB"/>
              </w:rPr>
              <w:t>Semi-Urban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South East Midlands</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1.18</w:t>
            </w:r>
          </w:p>
        </w:tc>
        <w:tc>
          <w:tcPr>
            <w:tcW w:w="1843" w:type="dxa"/>
            <w:tcBorders>
              <w:top w:val="nil"/>
              <w:left w:val="nil"/>
              <w:bottom w:val="nil"/>
              <w:right w:val="nil"/>
            </w:tcBorders>
            <w:shd w:val="clear" w:color="auto" w:fill="auto"/>
            <w:noWrap/>
            <w:vAlign w:val="bottom"/>
          </w:tcPr>
          <w:p w:rsidR="00FD16AC" w:rsidRPr="00D53DC5" w:rsidRDefault="004E19EA" w:rsidP="00FD16AC">
            <w:pPr>
              <w:rPr>
                <w:rFonts w:ascii="Cambria" w:eastAsia="Times New Roman" w:hAnsi="Cambria" w:cs="Calibri"/>
                <w:color w:val="000000"/>
                <w:sz w:val="22"/>
                <w:szCs w:val="22"/>
                <w:lang w:val="en-GB" w:eastAsia="en-GB"/>
              </w:rPr>
            </w:pPr>
            <w:r>
              <w:rPr>
                <w:rFonts w:ascii="Cambria" w:eastAsia="Times New Roman" w:hAnsi="Cambria" w:cs="Calibri"/>
                <w:color w:val="000000"/>
                <w:sz w:val="22"/>
                <w:szCs w:val="22"/>
                <w:lang w:val="en-GB" w:eastAsia="en-GB"/>
              </w:rPr>
              <w:t>Semi-Urban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Lancashire</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1.19</w:t>
            </w:r>
          </w:p>
        </w:tc>
        <w:tc>
          <w:tcPr>
            <w:tcW w:w="1843" w:type="dxa"/>
            <w:tcBorders>
              <w:top w:val="nil"/>
              <w:left w:val="nil"/>
              <w:bottom w:val="nil"/>
              <w:right w:val="nil"/>
            </w:tcBorders>
            <w:shd w:val="clear" w:color="auto" w:fill="auto"/>
            <w:noWrap/>
            <w:vAlign w:val="bottom"/>
          </w:tcPr>
          <w:p w:rsidR="00FD16AC" w:rsidRPr="00D53DC5" w:rsidRDefault="004E19EA" w:rsidP="00FD16AC">
            <w:pPr>
              <w:rPr>
                <w:rFonts w:ascii="Cambria" w:eastAsia="Times New Roman" w:hAnsi="Cambria" w:cs="Calibri"/>
                <w:color w:val="000000"/>
                <w:sz w:val="22"/>
                <w:szCs w:val="22"/>
                <w:lang w:val="en-GB" w:eastAsia="en-GB"/>
              </w:rPr>
            </w:pPr>
            <w:r>
              <w:rPr>
                <w:rFonts w:ascii="Cambria" w:eastAsia="Times New Roman" w:hAnsi="Cambria" w:cs="Calibri"/>
                <w:color w:val="000000"/>
                <w:sz w:val="22"/>
                <w:szCs w:val="22"/>
                <w:lang w:val="en-GB" w:eastAsia="en-GB"/>
              </w:rPr>
              <w:t>Semi-Urban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Worcestershire</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1.25</w:t>
            </w:r>
          </w:p>
        </w:tc>
        <w:tc>
          <w:tcPr>
            <w:tcW w:w="1843" w:type="dxa"/>
            <w:tcBorders>
              <w:top w:val="nil"/>
              <w:left w:val="nil"/>
              <w:bottom w:val="nil"/>
              <w:right w:val="nil"/>
            </w:tcBorders>
            <w:shd w:val="clear" w:color="auto" w:fill="auto"/>
            <w:noWrap/>
            <w:vAlign w:val="bottom"/>
          </w:tcPr>
          <w:p w:rsidR="00FD16AC" w:rsidRPr="00D53DC5" w:rsidRDefault="004E19EA" w:rsidP="00FD16AC">
            <w:pPr>
              <w:rPr>
                <w:rFonts w:ascii="Cambria" w:eastAsia="Times New Roman" w:hAnsi="Cambria" w:cs="Calibri"/>
                <w:color w:val="000000"/>
                <w:sz w:val="22"/>
                <w:szCs w:val="22"/>
                <w:lang w:val="en-GB" w:eastAsia="en-GB"/>
              </w:rPr>
            </w:pPr>
            <w:r>
              <w:rPr>
                <w:rFonts w:ascii="Cambria" w:eastAsia="Times New Roman" w:hAnsi="Cambria" w:cs="Calibri"/>
                <w:color w:val="000000"/>
                <w:sz w:val="22"/>
                <w:szCs w:val="22"/>
                <w:lang w:val="en-GB" w:eastAsia="en-GB"/>
              </w:rPr>
              <w:t>Semi-Urban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Humber</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1.25</w:t>
            </w:r>
          </w:p>
        </w:tc>
        <w:tc>
          <w:tcPr>
            <w:tcW w:w="1843" w:type="dxa"/>
            <w:tcBorders>
              <w:top w:val="nil"/>
              <w:left w:val="nil"/>
              <w:bottom w:val="nil"/>
              <w:right w:val="nil"/>
            </w:tcBorders>
            <w:shd w:val="clear" w:color="auto" w:fill="auto"/>
            <w:noWrap/>
            <w:vAlign w:val="bottom"/>
          </w:tcPr>
          <w:p w:rsidR="00FD16AC" w:rsidRPr="00D53DC5" w:rsidRDefault="004E19EA" w:rsidP="00FD16AC">
            <w:pPr>
              <w:rPr>
                <w:rFonts w:ascii="Cambria" w:eastAsia="Times New Roman" w:hAnsi="Cambria" w:cs="Calibri"/>
                <w:color w:val="000000"/>
                <w:sz w:val="22"/>
                <w:szCs w:val="22"/>
                <w:lang w:val="en-GB" w:eastAsia="en-GB"/>
              </w:rPr>
            </w:pPr>
            <w:r>
              <w:rPr>
                <w:rFonts w:ascii="Cambria" w:eastAsia="Times New Roman" w:hAnsi="Cambria" w:cs="Calibri"/>
                <w:color w:val="000000"/>
                <w:sz w:val="22"/>
                <w:szCs w:val="22"/>
                <w:lang w:val="en-GB" w:eastAsia="en-GB"/>
              </w:rPr>
              <w:t>Semi-Urban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Buckinghamshire Thames Valley</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1.28</w:t>
            </w:r>
          </w:p>
        </w:tc>
        <w:tc>
          <w:tcPr>
            <w:tcW w:w="1843" w:type="dxa"/>
            <w:tcBorders>
              <w:top w:val="nil"/>
              <w:left w:val="nil"/>
              <w:bottom w:val="nil"/>
              <w:right w:val="nil"/>
            </w:tcBorders>
            <w:shd w:val="clear" w:color="auto" w:fill="auto"/>
            <w:noWrap/>
            <w:vAlign w:val="bottom"/>
          </w:tcPr>
          <w:p w:rsidR="00FD16AC" w:rsidRPr="00D53DC5" w:rsidRDefault="004E19EA" w:rsidP="00FD16AC">
            <w:pPr>
              <w:rPr>
                <w:rFonts w:ascii="Cambria" w:eastAsia="Times New Roman" w:hAnsi="Cambria" w:cs="Calibri"/>
                <w:color w:val="000000"/>
                <w:sz w:val="22"/>
                <w:szCs w:val="22"/>
                <w:lang w:val="en-GB" w:eastAsia="en-GB"/>
              </w:rPr>
            </w:pPr>
            <w:r>
              <w:rPr>
                <w:rFonts w:ascii="Cambria" w:eastAsia="Times New Roman" w:hAnsi="Cambria" w:cs="Calibri"/>
                <w:color w:val="000000"/>
                <w:sz w:val="22"/>
                <w:szCs w:val="22"/>
                <w:lang w:val="en-GB" w:eastAsia="en-GB"/>
              </w:rPr>
              <w:t>Semi-Urban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South East Wales</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1.36</w:t>
            </w:r>
          </w:p>
        </w:tc>
        <w:tc>
          <w:tcPr>
            <w:tcW w:w="1843" w:type="dxa"/>
            <w:tcBorders>
              <w:top w:val="nil"/>
              <w:left w:val="nil"/>
              <w:bottom w:val="nil"/>
              <w:right w:val="nil"/>
            </w:tcBorders>
            <w:shd w:val="clear" w:color="auto" w:fill="auto"/>
            <w:noWrap/>
            <w:vAlign w:val="bottom"/>
          </w:tcPr>
          <w:p w:rsidR="00FD16AC" w:rsidRPr="00D53DC5" w:rsidRDefault="004E19EA" w:rsidP="00FD16AC">
            <w:pPr>
              <w:rPr>
                <w:rFonts w:ascii="Cambria" w:eastAsia="Times New Roman" w:hAnsi="Cambria" w:cs="Calibri"/>
                <w:color w:val="000000"/>
                <w:sz w:val="22"/>
                <w:szCs w:val="22"/>
                <w:lang w:val="en-GB" w:eastAsia="en-GB"/>
              </w:rPr>
            </w:pPr>
            <w:r>
              <w:rPr>
                <w:rFonts w:ascii="Cambria" w:eastAsia="Times New Roman" w:hAnsi="Cambria" w:cs="Calibri"/>
                <w:color w:val="000000"/>
                <w:sz w:val="22"/>
                <w:szCs w:val="22"/>
                <w:lang w:val="en-GB" w:eastAsia="en-GB"/>
              </w:rPr>
              <w:t>Semi-Urban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East of Scotland</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1.47</w:t>
            </w:r>
          </w:p>
        </w:tc>
        <w:tc>
          <w:tcPr>
            <w:tcW w:w="1843" w:type="dxa"/>
            <w:tcBorders>
              <w:top w:val="nil"/>
              <w:left w:val="nil"/>
              <w:bottom w:val="nil"/>
              <w:right w:val="nil"/>
            </w:tcBorders>
            <w:shd w:val="clear" w:color="auto" w:fill="auto"/>
            <w:noWrap/>
            <w:vAlign w:val="bottom"/>
          </w:tcPr>
          <w:p w:rsidR="00FD16AC" w:rsidRPr="00D53DC5" w:rsidRDefault="004E19EA" w:rsidP="00FD16AC">
            <w:pPr>
              <w:rPr>
                <w:rFonts w:ascii="Cambria" w:eastAsia="Times New Roman" w:hAnsi="Cambria" w:cs="Calibri"/>
                <w:color w:val="000000"/>
                <w:sz w:val="22"/>
                <w:szCs w:val="22"/>
                <w:lang w:val="en-GB" w:eastAsia="en-GB"/>
              </w:rPr>
            </w:pPr>
            <w:r>
              <w:rPr>
                <w:rFonts w:ascii="Cambria" w:eastAsia="Times New Roman" w:hAnsi="Cambria" w:cs="Calibri"/>
                <w:color w:val="000000"/>
                <w:sz w:val="22"/>
                <w:szCs w:val="22"/>
                <w:lang w:val="en-GB" w:eastAsia="en-GB"/>
              </w:rPr>
              <w:t>Semi-Urban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Cheshire and Warrington</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1.61</w:t>
            </w:r>
          </w:p>
        </w:tc>
        <w:tc>
          <w:tcPr>
            <w:tcW w:w="1843"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Urban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South East</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1.61</w:t>
            </w:r>
          </w:p>
        </w:tc>
        <w:tc>
          <w:tcPr>
            <w:tcW w:w="1843"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Urban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West of Scotland</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1.67</w:t>
            </w:r>
          </w:p>
        </w:tc>
        <w:tc>
          <w:tcPr>
            <w:tcW w:w="1843" w:type="dxa"/>
            <w:tcBorders>
              <w:top w:val="nil"/>
              <w:left w:val="nil"/>
              <w:bottom w:val="nil"/>
              <w:right w:val="nil"/>
            </w:tcBorders>
            <w:shd w:val="clear" w:color="auto" w:fill="auto"/>
            <w:noWrap/>
            <w:vAlign w:val="bottom"/>
          </w:tcPr>
          <w:p w:rsidR="00FD16AC" w:rsidRPr="00D53DC5" w:rsidRDefault="00FD16AC" w:rsidP="00CB4380">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Urban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Enterprise M3</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1.68</w:t>
            </w:r>
          </w:p>
        </w:tc>
        <w:tc>
          <w:tcPr>
            <w:tcW w:w="1843" w:type="dxa"/>
            <w:tcBorders>
              <w:top w:val="nil"/>
              <w:left w:val="nil"/>
              <w:bottom w:val="nil"/>
              <w:right w:val="nil"/>
            </w:tcBorders>
            <w:shd w:val="clear" w:color="auto" w:fill="auto"/>
            <w:noWrap/>
            <w:vAlign w:val="bottom"/>
          </w:tcPr>
          <w:p w:rsidR="00FD16AC" w:rsidRPr="00D53DC5" w:rsidRDefault="00FD16AC" w:rsidP="00CB4380">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Urban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Stoke-on-Trent and Staffordshire</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1.70</w:t>
            </w:r>
          </w:p>
        </w:tc>
        <w:tc>
          <w:tcPr>
            <w:tcW w:w="1843" w:type="dxa"/>
            <w:tcBorders>
              <w:top w:val="nil"/>
              <w:left w:val="nil"/>
              <w:bottom w:val="nil"/>
              <w:right w:val="nil"/>
            </w:tcBorders>
            <w:shd w:val="clear" w:color="auto" w:fill="auto"/>
            <w:noWrap/>
            <w:vAlign w:val="bottom"/>
          </w:tcPr>
          <w:p w:rsidR="00FD16AC" w:rsidRPr="00D53DC5" w:rsidRDefault="00FD16AC" w:rsidP="00CB4380">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Urban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Coventry and Warwickshire</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1.74</w:t>
            </w:r>
          </w:p>
        </w:tc>
        <w:tc>
          <w:tcPr>
            <w:tcW w:w="1843" w:type="dxa"/>
            <w:tcBorders>
              <w:top w:val="nil"/>
              <w:left w:val="nil"/>
              <w:bottom w:val="nil"/>
              <w:right w:val="nil"/>
            </w:tcBorders>
            <w:shd w:val="clear" w:color="auto" w:fill="auto"/>
            <w:noWrap/>
            <w:vAlign w:val="bottom"/>
          </w:tcPr>
          <w:p w:rsidR="00FD16AC" w:rsidRPr="00D53DC5" w:rsidRDefault="00FD16AC" w:rsidP="00CB4380">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Urban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Solent</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1.78</w:t>
            </w:r>
          </w:p>
        </w:tc>
        <w:tc>
          <w:tcPr>
            <w:tcW w:w="1843" w:type="dxa"/>
            <w:tcBorders>
              <w:top w:val="nil"/>
              <w:left w:val="nil"/>
              <w:bottom w:val="nil"/>
              <w:right w:val="nil"/>
            </w:tcBorders>
            <w:shd w:val="clear" w:color="auto" w:fill="auto"/>
            <w:noWrap/>
            <w:vAlign w:val="bottom"/>
          </w:tcPr>
          <w:p w:rsidR="00FD16AC" w:rsidRPr="00D53DC5" w:rsidRDefault="00FD16AC" w:rsidP="00CB4380">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Urban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 xml:space="preserve">Derby, Derbyshire, Nottingham and </w:t>
            </w:r>
            <w:r w:rsidR="007B5290" w:rsidRPr="00D53DC5">
              <w:rPr>
                <w:rFonts w:ascii="Cambria" w:eastAsia="Times New Roman" w:hAnsi="Cambria" w:cs="Calibri"/>
                <w:color w:val="000000"/>
                <w:sz w:val="22"/>
                <w:szCs w:val="22"/>
                <w:lang w:val="en-GB" w:eastAsia="en-GB"/>
              </w:rPr>
              <w:t>Nottinghamshire</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1.81</w:t>
            </w:r>
          </w:p>
        </w:tc>
        <w:tc>
          <w:tcPr>
            <w:tcW w:w="1843" w:type="dxa"/>
            <w:tcBorders>
              <w:top w:val="nil"/>
              <w:left w:val="nil"/>
              <w:bottom w:val="nil"/>
              <w:right w:val="nil"/>
            </w:tcBorders>
            <w:shd w:val="clear" w:color="auto" w:fill="auto"/>
            <w:noWrap/>
            <w:vAlign w:val="bottom"/>
          </w:tcPr>
          <w:p w:rsidR="00FD16AC" w:rsidRPr="00D53DC5" w:rsidRDefault="00FD16AC" w:rsidP="00CB4380">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Urban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Thames Valley Berkshire</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2.51</w:t>
            </w:r>
          </w:p>
        </w:tc>
        <w:tc>
          <w:tcPr>
            <w:tcW w:w="1843" w:type="dxa"/>
            <w:tcBorders>
              <w:top w:val="nil"/>
              <w:left w:val="nil"/>
              <w:bottom w:val="nil"/>
              <w:right w:val="nil"/>
            </w:tcBorders>
            <w:shd w:val="clear" w:color="auto" w:fill="auto"/>
            <w:noWrap/>
            <w:vAlign w:val="bottom"/>
          </w:tcPr>
          <w:p w:rsidR="00FD16AC" w:rsidRPr="00D53DC5" w:rsidRDefault="00FD16AC" w:rsidP="00CB4380">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Urban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Coast to Capital</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2.63</w:t>
            </w:r>
          </w:p>
        </w:tc>
        <w:tc>
          <w:tcPr>
            <w:tcW w:w="1843" w:type="dxa"/>
            <w:tcBorders>
              <w:top w:val="nil"/>
              <w:left w:val="nil"/>
              <w:bottom w:val="nil"/>
              <w:right w:val="nil"/>
            </w:tcBorders>
            <w:shd w:val="clear" w:color="auto" w:fill="auto"/>
            <w:noWrap/>
            <w:vAlign w:val="bottom"/>
          </w:tcPr>
          <w:p w:rsidR="00FD16AC" w:rsidRPr="00D53DC5" w:rsidRDefault="00FD16AC" w:rsidP="00CB4380">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Urban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lastRenderedPageBreak/>
              <w:t>West of England</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2.78</w:t>
            </w:r>
          </w:p>
        </w:tc>
        <w:tc>
          <w:tcPr>
            <w:tcW w:w="1843" w:type="dxa"/>
            <w:tcBorders>
              <w:top w:val="nil"/>
              <w:left w:val="nil"/>
              <w:bottom w:val="nil"/>
              <w:right w:val="nil"/>
            </w:tcBorders>
            <w:shd w:val="clear" w:color="auto" w:fill="auto"/>
            <w:noWrap/>
            <w:vAlign w:val="bottom"/>
          </w:tcPr>
          <w:p w:rsidR="00FD16AC" w:rsidRPr="00D53DC5" w:rsidRDefault="00FD16AC" w:rsidP="00CB4380">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Urban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Sheffield City Region</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2.84</w:t>
            </w:r>
          </w:p>
        </w:tc>
        <w:tc>
          <w:tcPr>
            <w:tcW w:w="1843" w:type="dxa"/>
            <w:tcBorders>
              <w:top w:val="nil"/>
              <w:left w:val="nil"/>
              <w:bottom w:val="nil"/>
              <w:right w:val="nil"/>
            </w:tcBorders>
            <w:shd w:val="clear" w:color="auto" w:fill="auto"/>
            <w:noWrap/>
            <w:vAlign w:val="bottom"/>
          </w:tcPr>
          <w:p w:rsidR="00FD16AC" w:rsidRPr="00D53DC5" w:rsidRDefault="00CB4380" w:rsidP="00CB4380">
            <w:pPr>
              <w:rPr>
                <w:rFonts w:ascii="Cambria" w:eastAsia="Times New Roman" w:hAnsi="Cambria" w:cs="Calibri"/>
                <w:color w:val="000000"/>
                <w:sz w:val="22"/>
                <w:szCs w:val="22"/>
                <w:lang w:val="en-GB" w:eastAsia="en-GB"/>
              </w:rPr>
            </w:pPr>
            <w:r>
              <w:rPr>
                <w:rFonts w:ascii="Cambria" w:eastAsia="Times New Roman" w:hAnsi="Cambria" w:cs="Calibri"/>
                <w:color w:val="000000"/>
                <w:sz w:val="22"/>
                <w:szCs w:val="22"/>
                <w:lang w:val="en-GB" w:eastAsia="en-GB"/>
              </w:rPr>
              <w:t>Metropolitan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Greater Manchester</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3.08</w:t>
            </w:r>
          </w:p>
        </w:tc>
        <w:tc>
          <w:tcPr>
            <w:tcW w:w="1843" w:type="dxa"/>
            <w:tcBorders>
              <w:top w:val="nil"/>
              <w:left w:val="nil"/>
              <w:bottom w:val="nil"/>
              <w:right w:val="nil"/>
            </w:tcBorders>
            <w:shd w:val="clear" w:color="auto" w:fill="auto"/>
            <w:noWrap/>
            <w:vAlign w:val="bottom"/>
          </w:tcPr>
          <w:p w:rsidR="00FD16AC" w:rsidRPr="00D53DC5" w:rsidRDefault="00CB4380" w:rsidP="00CB4380">
            <w:pPr>
              <w:rPr>
                <w:rFonts w:ascii="Cambria" w:eastAsia="Times New Roman" w:hAnsi="Cambria" w:cs="Calibri"/>
                <w:color w:val="000000"/>
                <w:sz w:val="22"/>
                <w:szCs w:val="22"/>
                <w:lang w:val="en-GB" w:eastAsia="en-GB"/>
              </w:rPr>
            </w:pPr>
            <w:r>
              <w:rPr>
                <w:rFonts w:ascii="Cambria" w:eastAsia="Times New Roman" w:hAnsi="Cambria" w:cs="Calibri"/>
                <w:color w:val="000000"/>
                <w:sz w:val="22"/>
                <w:szCs w:val="22"/>
                <w:lang w:val="en-GB" w:eastAsia="en-GB"/>
              </w:rPr>
              <w:t>Metropolitan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Leeds City Region</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3.10</w:t>
            </w:r>
          </w:p>
        </w:tc>
        <w:tc>
          <w:tcPr>
            <w:tcW w:w="1843" w:type="dxa"/>
            <w:tcBorders>
              <w:top w:val="nil"/>
              <w:left w:val="nil"/>
              <w:bottom w:val="nil"/>
              <w:right w:val="nil"/>
            </w:tcBorders>
            <w:shd w:val="clear" w:color="auto" w:fill="auto"/>
            <w:noWrap/>
            <w:vAlign w:val="bottom"/>
          </w:tcPr>
          <w:p w:rsidR="00FD16AC" w:rsidRPr="00D53DC5" w:rsidRDefault="00CB4380" w:rsidP="00CB4380">
            <w:pPr>
              <w:rPr>
                <w:rFonts w:ascii="Cambria" w:eastAsia="Times New Roman" w:hAnsi="Cambria" w:cs="Calibri"/>
                <w:color w:val="000000"/>
                <w:sz w:val="22"/>
                <w:szCs w:val="22"/>
                <w:lang w:val="en-GB" w:eastAsia="en-GB"/>
              </w:rPr>
            </w:pPr>
            <w:r>
              <w:rPr>
                <w:rFonts w:ascii="Cambria" w:eastAsia="Times New Roman" w:hAnsi="Cambria" w:cs="Calibri"/>
                <w:color w:val="000000"/>
                <w:sz w:val="22"/>
                <w:szCs w:val="22"/>
                <w:lang w:val="en-GB" w:eastAsia="en-GB"/>
              </w:rPr>
              <w:t>Metropolitan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Tees Valley</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3.73</w:t>
            </w:r>
          </w:p>
        </w:tc>
        <w:tc>
          <w:tcPr>
            <w:tcW w:w="1843" w:type="dxa"/>
            <w:tcBorders>
              <w:top w:val="nil"/>
              <w:left w:val="nil"/>
              <w:bottom w:val="nil"/>
              <w:right w:val="nil"/>
            </w:tcBorders>
            <w:shd w:val="clear" w:color="auto" w:fill="auto"/>
            <w:noWrap/>
            <w:vAlign w:val="bottom"/>
          </w:tcPr>
          <w:p w:rsidR="00FD16AC" w:rsidRPr="00D53DC5" w:rsidRDefault="00CB4380" w:rsidP="00FD16AC">
            <w:pPr>
              <w:rPr>
                <w:rFonts w:ascii="Cambria" w:eastAsia="Times New Roman" w:hAnsi="Cambria" w:cs="Calibri"/>
                <w:color w:val="000000"/>
                <w:sz w:val="22"/>
                <w:szCs w:val="22"/>
                <w:lang w:val="en-GB" w:eastAsia="en-GB"/>
              </w:rPr>
            </w:pPr>
            <w:r>
              <w:rPr>
                <w:rFonts w:ascii="Cambria" w:eastAsia="Times New Roman" w:hAnsi="Cambria" w:cs="Calibri"/>
                <w:color w:val="000000"/>
                <w:sz w:val="22"/>
                <w:szCs w:val="22"/>
                <w:lang w:val="en-GB" w:eastAsia="en-GB"/>
              </w:rPr>
              <w:t>Metropolitan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Hertfordshire</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3.86</w:t>
            </w:r>
          </w:p>
        </w:tc>
        <w:tc>
          <w:tcPr>
            <w:tcW w:w="1843" w:type="dxa"/>
            <w:tcBorders>
              <w:top w:val="nil"/>
              <w:left w:val="nil"/>
              <w:bottom w:val="nil"/>
              <w:right w:val="nil"/>
            </w:tcBorders>
            <w:shd w:val="clear" w:color="auto" w:fill="auto"/>
            <w:noWrap/>
            <w:vAlign w:val="bottom"/>
          </w:tcPr>
          <w:p w:rsidR="00FD16AC" w:rsidRPr="00D53DC5" w:rsidRDefault="00CB4380" w:rsidP="00CB4380">
            <w:pPr>
              <w:rPr>
                <w:rFonts w:ascii="Cambria" w:eastAsia="Times New Roman" w:hAnsi="Cambria" w:cs="Calibri"/>
                <w:color w:val="000000"/>
                <w:sz w:val="22"/>
                <w:szCs w:val="22"/>
                <w:lang w:val="en-GB" w:eastAsia="en-GB"/>
              </w:rPr>
            </w:pPr>
            <w:r>
              <w:rPr>
                <w:rFonts w:ascii="Cambria" w:eastAsia="Times New Roman" w:hAnsi="Cambria" w:cs="Calibri"/>
                <w:color w:val="000000"/>
                <w:sz w:val="22"/>
                <w:szCs w:val="22"/>
                <w:lang w:val="en-GB" w:eastAsia="en-GB"/>
              </w:rPr>
              <w:t>Metropolitan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Greater Birmingham and Solihull</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4.69</w:t>
            </w:r>
          </w:p>
        </w:tc>
        <w:tc>
          <w:tcPr>
            <w:tcW w:w="1843" w:type="dxa"/>
            <w:tcBorders>
              <w:top w:val="nil"/>
              <w:left w:val="nil"/>
              <w:bottom w:val="nil"/>
              <w:right w:val="nil"/>
            </w:tcBorders>
            <w:shd w:val="clear" w:color="auto" w:fill="auto"/>
            <w:noWrap/>
            <w:vAlign w:val="bottom"/>
          </w:tcPr>
          <w:p w:rsidR="00FD16AC" w:rsidRPr="00D53DC5" w:rsidRDefault="00CB4380" w:rsidP="00FD16AC">
            <w:pPr>
              <w:rPr>
                <w:rFonts w:ascii="Cambria" w:eastAsia="Times New Roman" w:hAnsi="Cambria" w:cs="Calibri"/>
                <w:color w:val="000000"/>
                <w:sz w:val="22"/>
                <w:szCs w:val="22"/>
                <w:lang w:val="en-GB" w:eastAsia="en-GB"/>
              </w:rPr>
            </w:pPr>
            <w:r>
              <w:rPr>
                <w:rFonts w:ascii="Cambria" w:eastAsia="Times New Roman" w:hAnsi="Cambria" w:cs="Calibri"/>
                <w:color w:val="000000"/>
                <w:sz w:val="22"/>
                <w:szCs w:val="22"/>
                <w:lang w:val="en-GB" w:eastAsia="en-GB"/>
              </w:rPr>
              <w:t>Metropolitan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Leicester and Leicestershire</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5.69</w:t>
            </w:r>
          </w:p>
        </w:tc>
        <w:tc>
          <w:tcPr>
            <w:tcW w:w="1843" w:type="dxa"/>
            <w:tcBorders>
              <w:top w:val="nil"/>
              <w:left w:val="nil"/>
              <w:bottom w:val="nil"/>
              <w:right w:val="nil"/>
            </w:tcBorders>
            <w:shd w:val="clear" w:color="auto" w:fill="auto"/>
            <w:noWrap/>
            <w:vAlign w:val="bottom"/>
          </w:tcPr>
          <w:p w:rsidR="00FD16AC" w:rsidRPr="00D53DC5" w:rsidRDefault="00CB4380" w:rsidP="00FD16AC">
            <w:pPr>
              <w:rPr>
                <w:rFonts w:ascii="Cambria" w:eastAsia="Times New Roman" w:hAnsi="Cambria" w:cs="Calibri"/>
                <w:color w:val="000000"/>
                <w:sz w:val="22"/>
                <w:szCs w:val="22"/>
                <w:lang w:val="en-GB" w:eastAsia="en-GB"/>
              </w:rPr>
            </w:pPr>
            <w:r>
              <w:rPr>
                <w:rFonts w:ascii="Cambria" w:eastAsia="Times New Roman" w:hAnsi="Cambria" w:cs="Calibri"/>
                <w:color w:val="000000"/>
                <w:sz w:val="22"/>
                <w:szCs w:val="22"/>
                <w:lang w:val="en-GB" w:eastAsia="en-GB"/>
              </w:rPr>
              <w:t>Metropolitan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Liverpool City Region</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8.24</w:t>
            </w:r>
          </w:p>
        </w:tc>
        <w:tc>
          <w:tcPr>
            <w:tcW w:w="1843" w:type="dxa"/>
            <w:tcBorders>
              <w:top w:val="nil"/>
              <w:left w:val="nil"/>
              <w:bottom w:val="nil"/>
              <w:right w:val="nil"/>
            </w:tcBorders>
            <w:shd w:val="clear" w:color="auto" w:fill="auto"/>
            <w:noWrap/>
            <w:vAlign w:val="bottom"/>
          </w:tcPr>
          <w:p w:rsidR="00FD16AC" w:rsidRPr="00D53DC5" w:rsidRDefault="00CB4380" w:rsidP="00FD16AC">
            <w:pPr>
              <w:rPr>
                <w:rFonts w:ascii="Cambria" w:eastAsia="Times New Roman" w:hAnsi="Cambria" w:cs="Calibri"/>
                <w:color w:val="000000"/>
                <w:sz w:val="22"/>
                <w:szCs w:val="22"/>
                <w:lang w:val="en-GB" w:eastAsia="en-GB"/>
              </w:rPr>
            </w:pPr>
            <w:r>
              <w:rPr>
                <w:rFonts w:ascii="Cambria" w:eastAsia="Times New Roman" w:hAnsi="Cambria" w:cs="Calibri"/>
                <w:color w:val="000000"/>
                <w:sz w:val="22"/>
                <w:szCs w:val="22"/>
                <w:lang w:val="en-GB" w:eastAsia="en-GB"/>
              </w:rPr>
              <w:t>Metropolitan.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Black Country</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14.44</w:t>
            </w:r>
          </w:p>
        </w:tc>
        <w:tc>
          <w:tcPr>
            <w:tcW w:w="1843" w:type="dxa"/>
            <w:tcBorders>
              <w:top w:val="nil"/>
              <w:left w:val="nil"/>
              <w:bottom w:val="nil"/>
              <w:right w:val="nil"/>
            </w:tcBorders>
            <w:shd w:val="clear" w:color="auto" w:fill="auto"/>
            <w:noWrap/>
            <w:vAlign w:val="bottom"/>
          </w:tcPr>
          <w:p w:rsidR="00FD16AC" w:rsidRPr="00D53DC5" w:rsidRDefault="00CB4380" w:rsidP="00CB4380">
            <w:pPr>
              <w:rPr>
                <w:rFonts w:ascii="Cambria" w:eastAsia="Times New Roman" w:hAnsi="Cambria" w:cs="Calibri"/>
                <w:color w:val="000000"/>
                <w:sz w:val="22"/>
                <w:szCs w:val="22"/>
                <w:lang w:val="en-GB" w:eastAsia="en-GB"/>
              </w:rPr>
            </w:pPr>
            <w:r>
              <w:rPr>
                <w:rFonts w:ascii="Cambria" w:eastAsia="Times New Roman" w:hAnsi="Cambria" w:cs="Calibri"/>
                <w:color w:val="000000"/>
                <w:sz w:val="22"/>
                <w:szCs w:val="22"/>
                <w:lang w:val="en-GB" w:eastAsia="en-GB"/>
              </w:rPr>
              <w:t>Metropolitan</w:t>
            </w:r>
          </w:p>
        </w:tc>
      </w:tr>
      <w:tr w:rsidR="00FD16AC" w:rsidRPr="00D53DC5">
        <w:trPr>
          <w:trHeight w:val="300"/>
        </w:trPr>
        <w:tc>
          <w:tcPr>
            <w:tcW w:w="4630" w:type="dxa"/>
            <w:tcBorders>
              <w:top w:val="nil"/>
              <w:left w:val="nil"/>
              <w:bottom w:val="nil"/>
              <w:right w:val="nil"/>
            </w:tcBorders>
            <w:shd w:val="clear" w:color="auto" w:fill="auto"/>
            <w:noWrap/>
            <w:vAlign w:val="bottom"/>
          </w:tcPr>
          <w:p w:rsidR="00FD16AC" w:rsidRPr="00D53DC5" w:rsidRDefault="00FD16AC" w:rsidP="00FD16AC">
            <w:pPr>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London</w:t>
            </w:r>
          </w:p>
        </w:tc>
        <w:tc>
          <w:tcPr>
            <w:tcW w:w="1749" w:type="dxa"/>
            <w:tcBorders>
              <w:top w:val="nil"/>
              <w:left w:val="nil"/>
              <w:bottom w:val="nil"/>
              <w:right w:val="nil"/>
            </w:tcBorders>
            <w:shd w:val="clear" w:color="auto" w:fill="auto"/>
            <w:noWrap/>
            <w:vAlign w:val="bottom"/>
          </w:tcPr>
          <w:p w:rsidR="00FD16AC" w:rsidRPr="00D53DC5" w:rsidRDefault="00FD16AC" w:rsidP="00FD16AC">
            <w:pPr>
              <w:jc w:val="right"/>
              <w:rPr>
                <w:rFonts w:ascii="Cambria" w:eastAsia="Times New Roman" w:hAnsi="Cambria" w:cs="Calibri"/>
                <w:color w:val="000000"/>
                <w:sz w:val="22"/>
                <w:szCs w:val="22"/>
                <w:lang w:val="en-GB" w:eastAsia="en-GB"/>
              </w:rPr>
            </w:pPr>
            <w:r w:rsidRPr="00D53DC5">
              <w:rPr>
                <w:rFonts w:ascii="Cambria" w:eastAsia="Times New Roman" w:hAnsi="Cambria" w:cs="Calibri"/>
                <w:color w:val="000000"/>
                <w:sz w:val="22"/>
                <w:szCs w:val="22"/>
                <w:lang w:val="en-GB" w:eastAsia="en-GB"/>
              </w:rPr>
              <w:t>19.37</w:t>
            </w:r>
          </w:p>
        </w:tc>
        <w:tc>
          <w:tcPr>
            <w:tcW w:w="1843" w:type="dxa"/>
            <w:tcBorders>
              <w:top w:val="nil"/>
              <w:left w:val="nil"/>
              <w:bottom w:val="nil"/>
              <w:right w:val="nil"/>
            </w:tcBorders>
            <w:shd w:val="clear" w:color="auto" w:fill="auto"/>
            <w:noWrap/>
            <w:vAlign w:val="bottom"/>
          </w:tcPr>
          <w:p w:rsidR="00FD16AC" w:rsidRPr="00D53DC5" w:rsidRDefault="00CB4380" w:rsidP="00FD16AC">
            <w:pPr>
              <w:rPr>
                <w:rFonts w:ascii="Cambria" w:eastAsia="Times New Roman" w:hAnsi="Cambria" w:cs="Calibri"/>
                <w:color w:val="000000"/>
                <w:sz w:val="22"/>
                <w:szCs w:val="22"/>
                <w:lang w:val="en-GB" w:eastAsia="en-GB"/>
              </w:rPr>
            </w:pPr>
            <w:r>
              <w:rPr>
                <w:rFonts w:ascii="Cambria" w:eastAsia="Times New Roman" w:hAnsi="Cambria" w:cs="Calibri"/>
                <w:color w:val="000000"/>
                <w:sz w:val="22"/>
                <w:szCs w:val="22"/>
                <w:lang w:val="en-GB" w:eastAsia="en-GB"/>
              </w:rPr>
              <w:t>London</w:t>
            </w:r>
          </w:p>
        </w:tc>
      </w:tr>
    </w:tbl>
    <w:p w:rsidR="009344B1" w:rsidRDefault="009344B1" w:rsidP="00C10F3B">
      <w:pPr>
        <w:jc w:val="both"/>
        <w:rPr>
          <w:rFonts w:ascii="Cambria" w:hAnsi="Cambria"/>
          <w:b/>
          <w:sz w:val="22"/>
          <w:szCs w:val="22"/>
        </w:rPr>
      </w:pPr>
    </w:p>
    <w:sectPr w:rsidR="009344B1" w:rsidSect="008C389A">
      <w:footerReference w:type="even" r:id="rId26"/>
      <w:footerReference w:type="default" r:id="rId27"/>
      <w:pgSz w:w="11900" w:h="16840"/>
      <w:pgMar w:top="1588" w:right="1985" w:bottom="1588" w:left="1985" w:header="709" w:footer="709"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4FB" w:rsidRDefault="004404FB" w:rsidP="00DB7FDD">
      <w:r>
        <w:separator/>
      </w:r>
    </w:p>
  </w:endnote>
  <w:endnote w:type="continuationSeparator" w:id="0">
    <w:p w:rsidR="004404FB" w:rsidRDefault="004404FB" w:rsidP="00DB7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Courier New"/>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9D3" w:rsidRDefault="00567547" w:rsidP="00C03435">
    <w:pPr>
      <w:pStyle w:val="Footer"/>
      <w:framePr w:wrap="around" w:vAnchor="text" w:hAnchor="margin" w:xAlign="center" w:y="1"/>
      <w:rPr>
        <w:rStyle w:val="PageNumber"/>
      </w:rPr>
    </w:pPr>
    <w:r>
      <w:rPr>
        <w:rStyle w:val="PageNumber"/>
      </w:rPr>
      <w:fldChar w:fldCharType="begin"/>
    </w:r>
    <w:r w:rsidR="004329D3">
      <w:rPr>
        <w:rStyle w:val="PageNumber"/>
      </w:rPr>
      <w:instrText xml:space="preserve">PAGE  </w:instrText>
    </w:r>
    <w:r>
      <w:rPr>
        <w:rStyle w:val="PageNumber"/>
      </w:rPr>
      <w:fldChar w:fldCharType="end"/>
    </w:r>
  </w:p>
  <w:p w:rsidR="004329D3" w:rsidRDefault="004329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9D3" w:rsidRDefault="00567547" w:rsidP="00C03435">
    <w:pPr>
      <w:pStyle w:val="Footer"/>
      <w:framePr w:wrap="around" w:vAnchor="text" w:hAnchor="margin" w:xAlign="center" w:y="1"/>
      <w:rPr>
        <w:rStyle w:val="PageNumber"/>
      </w:rPr>
    </w:pPr>
    <w:r>
      <w:rPr>
        <w:rStyle w:val="PageNumber"/>
      </w:rPr>
      <w:fldChar w:fldCharType="begin"/>
    </w:r>
    <w:r w:rsidR="004329D3">
      <w:rPr>
        <w:rStyle w:val="PageNumber"/>
      </w:rPr>
      <w:instrText xml:space="preserve">PAGE  </w:instrText>
    </w:r>
    <w:r>
      <w:rPr>
        <w:rStyle w:val="PageNumber"/>
      </w:rPr>
      <w:fldChar w:fldCharType="separate"/>
    </w:r>
    <w:r w:rsidR="00247435">
      <w:rPr>
        <w:rStyle w:val="PageNumber"/>
        <w:noProof/>
      </w:rPr>
      <w:t>45</w:t>
    </w:r>
    <w:r>
      <w:rPr>
        <w:rStyle w:val="PageNumber"/>
      </w:rPr>
      <w:fldChar w:fldCharType="end"/>
    </w:r>
  </w:p>
  <w:p w:rsidR="004329D3" w:rsidRDefault="004329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4FB" w:rsidRDefault="004404FB" w:rsidP="00DB7FDD">
      <w:r>
        <w:separator/>
      </w:r>
    </w:p>
  </w:footnote>
  <w:footnote w:type="continuationSeparator" w:id="0">
    <w:p w:rsidR="004404FB" w:rsidRDefault="004404FB" w:rsidP="00DB7FDD">
      <w:r>
        <w:continuationSeparator/>
      </w:r>
    </w:p>
  </w:footnote>
  <w:footnote w:id="1">
    <w:p w:rsidR="004329D3" w:rsidRPr="00B8132E" w:rsidRDefault="004329D3">
      <w:pPr>
        <w:pStyle w:val="FootnoteText"/>
        <w:rPr>
          <w:lang w:val="en-GB"/>
        </w:rPr>
      </w:pPr>
      <w:r>
        <w:rPr>
          <w:rStyle w:val="FootnoteReference"/>
        </w:rPr>
        <w:footnoteRef/>
      </w:r>
      <w:r>
        <w:t xml:space="preserve"> </w:t>
      </w:r>
      <w:r>
        <w:rPr>
          <w:lang w:val="en-GB"/>
        </w:rPr>
        <w:t>A full description of the spatial areas used for the analysis is provided in the annex.</w:t>
      </w:r>
    </w:p>
  </w:footnote>
  <w:footnote w:id="2">
    <w:p w:rsidR="004329D3" w:rsidRPr="004E2D66" w:rsidRDefault="004329D3">
      <w:pPr>
        <w:pStyle w:val="FootnoteText"/>
        <w:rPr>
          <w:lang w:val="en-GB"/>
        </w:rPr>
      </w:pPr>
      <w:r>
        <w:rPr>
          <w:rStyle w:val="FootnoteReference"/>
        </w:rPr>
        <w:footnoteRef/>
      </w:r>
      <w:r>
        <w:t xml:space="preserve"> </w:t>
      </w:r>
      <w:r>
        <w:rPr>
          <w:lang w:val="en-GB"/>
        </w:rPr>
        <w:t>Data supplied by Cambridge Econometrics.</w:t>
      </w:r>
    </w:p>
  </w:footnote>
  <w:footnote w:id="3">
    <w:p w:rsidR="004329D3" w:rsidRPr="003E59E4" w:rsidRDefault="004329D3">
      <w:pPr>
        <w:pStyle w:val="FootnoteText"/>
        <w:rPr>
          <w:lang w:val="en-GB"/>
        </w:rPr>
      </w:pPr>
      <w:r>
        <w:rPr>
          <w:rStyle w:val="FootnoteReference"/>
        </w:rPr>
        <w:footnoteRef/>
      </w:r>
      <w:r>
        <w:t xml:space="preserve"> </w:t>
      </w:r>
      <w:r>
        <w:rPr>
          <w:lang w:val="en-GB"/>
        </w:rPr>
        <w:t>See annex for sector definitions.</w:t>
      </w:r>
    </w:p>
  </w:footnote>
  <w:footnote w:id="4">
    <w:p w:rsidR="004329D3" w:rsidRPr="00F43F9A" w:rsidRDefault="004329D3" w:rsidP="00E026BC">
      <w:pPr>
        <w:spacing w:line="340" w:lineRule="exact"/>
        <w:jc w:val="both"/>
        <w:rPr>
          <w:color w:val="000000" w:themeColor="text1"/>
          <w:sz w:val="20"/>
          <w:szCs w:val="20"/>
        </w:rPr>
      </w:pPr>
      <w:r w:rsidRPr="00F43F9A">
        <w:rPr>
          <w:rStyle w:val="FootnoteReference"/>
          <w:b/>
          <w:sz w:val="20"/>
          <w:szCs w:val="20"/>
        </w:rPr>
        <w:footnoteRef/>
      </w:r>
      <w:r w:rsidRPr="00F43F9A">
        <w:rPr>
          <w:b/>
          <w:sz w:val="20"/>
          <w:szCs w:val="20"/>
        </w:rPr>
        <w:t xml:space="preserve"> </w:t>
      </w:r>
      <w:r w:rsidRPr="00F43F9A">
        <w:rPr>
          <w:color w:val="000000" w:themeColor="text1"/>
          <w:sz w:val="20"/>
          <w:szCs w:val="20"/>
        </w:rPr>
        <w:t xml:space="preserve"> </w:t>
      </w:r>
      <w:r w:rsidR="001473CC">
        <w:rPr>
          <w:rFonts w:ascii="Arial" w:hAnsi="Arial"/>
          <w:color w:val="000000" w:themeColor="text1"/>
        </w:rPr>
        <w:t>T</w:t>
      </w:r>
      <w:r w:rsidR="001473CC" w:rsidRPr="00E026BC">
        <w:rPr>
          <w:rFonts w:ascii="Arial" w:hAnsi="Arial"/>
          <w:color w:val="000000" w:themeColor="text1"/>
          <w:sz w:val="16"/>
          <w:szCs w:val="16"/>
        </w:rPr>
        <w:t>he Krugman Specialisation Index (KSI), compare a city’s composite structure against an average (typically for the country). The KSI is expressed as follows:</w:t>
      </w:r>
      <w:r w:rsidR="001473CC">
        <w:rPr>
          <w:rFonts w:ascii="Arial" w:hAnsi="Arial"/>
          <w:color w:val="000000" w:themeColor="text1"/>
          <w:sz w:val="16"/>
          <w:szCs w:val="16"/>
        </w:rPr>
        <w:t xml:space="preserve"> </w:t>
      </w:r>
      <m:oMath>
        <m:sSub>
          <m:sSubPr>
            <m:ctrlPr>
              <w:rPr>
                <w:rFonts w:ascii="Cambria Math" w:hAnsi="Cambria Math"/>
                <w:i/>
                <w:color w:val="000000" w:themeColor="text1"/>
                <w:sz w:val="16"/>
                <w:szCs w:val="16"/>
              </w:rPr>
            </m:ctrlPr>
          </m:sSubPr>
          <m:e>
            <m:r>
              <w:rPr>
                <w:rFonts w:ascii="Cambria Math" w:hAnsi="Cambria Math"/>
                <w:color w:val="000000" w:themeColor="text1"/>
                <w:sz w:val="16"/>
                <w:szCs w:val="16"/>
              </w:rPr>
              <m:t>KSI</m:t>
            </m:r>
          </m:e>
          <m:sub>
            <m:r>
              <w:rPr>
                <w:rFonts w:ascii="Cambria Math" w:hAnsi="Cambria Math"/>
                <w:color w:val="000000" w:themeColor="text1"/>
                <w:sz w:val="16"/>
                <w:szCs w:val="16"/>
              </w:rPr>
              <m:t>j</m:t>
            </m:r>
          </m:sub>
        </m:sSub>
        <m:r>
          <w:rPr>
            <w:rFonts w:ascii="Cambria Math" w:hAnsi="Cambria Math"/>
            <w:color w:val="000000" w:themeColor="text1"/>
            <w:sz w:val="16"/>
            <w:szCs w:val="16"/>
          </w:rPr>
          <m:t>=</m:t>
        </m:r>
        <m:nary>
          <m:naryPr>
            <m:chr m:val="∑"/>
            <m:limLoc m:val="undOvr"/>
            <m:ctrlPr>
              <w:rPr>
                <w:rFonts w:ascii="Cambria Math" w:hAnsi="Cambria Math"/>
                <w:i/>
                <w:color w:val="000000" w:themeColor="text1"/>
                <w:sz w:val="16"/>
                <w:szCs w:val="16"/>
              </w:rPr>
            </m:ctrlPr>
          </m:naryPr>
          <m:sub>
            <m:r>
              <w:rPr>
                <w:rFonts w:ascii="Cambria Math" w:hAnsi="Cambria Math"/>
                <w:color w:val="000000" w:themeColor="text1"/>
                <w:sz w:val="16"/>
                <w:szCs w:val="16"/>
              </w:rPr>
              <m:t>i=1</m:t>
            </m:r>
          </m:sub>
          <m:sup>
            <m:r>
              <w:rPr>
                <w:rFonts w:ascii="Cambria Math" w:hAnsi="Cambria Math"/>
                <w:color w:val="000000" w:themeColor="text1"/>
                <w:sz w:val="16"/>
                <w:szCs w:val="16"/>
              </w:rPr>
              <m:t>n</m:t>
            </m:r>
          </m:sup>
          <m:e>
            <m:r>
              <w:rPr>
                <w:rFonts w:ascii="Cambria Math" w:hAnsi="Cambria Math"/>
                <w:color w:val="000000" w:themeColor="text1"/>
                <w:sz w:val="16"/>
                <w:szCs w:val="16"/>
              </w:rPr>
              <m:t>ABS</m:t>
            </m:r>
            <m:d>
              <m:dPr>
                <m:ctrlPr>
                  <w:rPr>
                    <w:rFonts w:ascii="Cambria Math" w:hAnsi="Cambria Math"/>
                    <w:i/>
                    <w:color w:val="000000" w:themeColor="text1"/>
                    <w:sz w:val="16"/>
                    <w:szCs w:val="16"/>
                  </w:rPr>
                </m:ctrlPr>
              </m:dPr>
              <m:e>
                <m:sSub>
                  <m:sSubPr>
                    <m:ctrlPr>
                      <w:rPr>
                        <w:rFonts w:ascii="Cambria Math" w:hAnsi="Cambria Math"/>
                        <w:i/>
                        <w:color w:val="000000" w:themeColor="text1"/>
                        <w:sz w:val="16"/>
                        <w:szCs w:val="16"/>
                      </w:rPr>
                    </m:ctrlPr>
                  </m:sSubPr>
                  <m:e>
                    <m:r>
                      <w:rPr>
                        <w:rFonts w:ascii="Cambria Math" w:hAnsi="Cambria Math"/>
                        <w:color w:val="000000" w:themeColor="text1"/>
                        <w:sz w:val="16"/>
                        <w:szCs w:val="16"/>
                      </w:rPr>
                      <m:t>s</m:t>
                    </m:r>
                  </m:e>
                  <m:sub>
                    <m:r>
                      <w:rPr>
                        <w:rFonts w:ascii="Cambria Math" w:hAnsi="Cambria Math"/>
                        <w:color w:val="000000" w:themeColor="text1"/>
                        <w:sz w:val="16"/>
                        <w:szCs w:val="16"/>
                      </w:rPr>
                      <m:t>ij</m:t>
                    </m:r>
                  </m:sub>
                </m:sSub>
                <m:r>
                  <w:rPr>
                    <w:rFonts w:ascii="Cambria Math" w:hAnsi="Cambria Math"/>
                    <w:color w:val="000000" w:themeColor="text1"/>
                    <w:sz w:val="16"/>
                    <w:szCs w:val="16"/>
                  </w:rPr>
                  <m:t>-</m:t>
                </m:r>
                <m:acc>
                  <m:accPr>
                    <m:chr m:val="̅"/>
                    <m:ctrlPr>
                      <w:rPr>
                        <w:rFonts w:ascii="Cambria Math" w:hAnsi="Cambria Math"/>
                        <w:i/>
                        <w:color w:val="000000" w:themeColor="text1"/>
                        <w:sz w:val="16"/>
                        <w:szCs w:val="16"/>
                      </w:rPr>
                    </m:ctrlPr>
                  </m:accPr>
                  <m:e>
                    <m:sSub>
                      <m:sSubPr>
                        <m:ctrlPr>
                          <w:rPr>
                            <w:rFonts w:ascii="Cambria Math" w:hAnsi="Cambria Math"/>
                            <w:i/>
                            <w:color w:val="000000" w:themeColor="text1"/>
                            <w:sz w:val="16"/>
                            <w:szCs w:val="16"/>
                          </w:rPr>
                        </m:ctrlPr>
                      </m:sSubPr>
                      <m:e>
                        <m:r>
                          <w:rPr>
                            <w:rFonts w:ascii="Cambria Math" w:hAnsi="Cambria Math"/>
                            <w:color w:val="000000" w:themeColor="text1"/>
                            <w:sz w:val="16"/>
                            <w:szCs w:val="16"/>
                          </w:rPr>
                          <m:t>s</m:t>
                        </m:r>
                      </m:e>
                      <m:sub>
                        <m:r>
                          <w:rPr>
                            <w:rFonts w:ascii="Cambria Math" w:hAnsi="Cambria Math"/>
                            <w:color w:val="000000" w:themeColor="text1"/>
                            <w:sz w:val="16"/>
                            <w:szCs w:val="16"/>
                          </w:rPr>
                          <m:t>ij</m:t>
                        </m:r>
                      </m:sub>
                    </m:sSub>
                  </m:e>
                </m:acc>
              </m:e>
            </m:d>
          </m:e>
        </m:nary>
        <m:r>
          <w:rPr>
            <w:rFonts w:ascii="Cambria Math" w:hAnsi="Cambria Math"/>
            <w:color w:val="000000" w:themeColor="text1"/>
            <w:sz w:val="16"/>
            <w:szCs w:val="16"/>
          </w:rPr>
          <m:t xml:space="preserve"> </m:t>
        </m:r>
      </m:oMath>
      <w:r w:rsidR="001473CC" w:rsidRPr="00E026BC">
        <w:rPr>
          <w:rFonts w:ascii="Arial" w:hAnsi="Arial"/>
          <w:color w:val="000000" w:themeColor="text1"/>
          <w:sz w:val="16"/>
          <w:szCs w:val="16"/>
        </w:rPr>
        <w:t xml:space="preserve">Where, as before, </w:t>
      </w:r>
      <m:oMath>
        <m:sSub>
          <m:sSubPr>
            <m:ctrlPr>
              <w:rPr>
                <w:rFonts w:ascii="Cambria Math" w:hAnsi="Cambria Math"/>
                <w:i/>
                <w:color w:val="000000" w:themeColor="text1"/>
                <w:sz w:val="16"/>
                <w:szCs w:val="16"/>
              </w:rPr>
            </m:ctrlPr>
          </m:sSubPr>
          <m:e>
            <m:r>
              <w:rPr>
                <w:rFonts w:ascii="Cambria Math" w:hAnsi="Cambria Math"/>
                <w:color w:val="000000" w:themeColor="text1"/>
                <w:sz w:val="16"/>
                <w:szCs w:val="16"/>
              </w:rPr>
              <m:t>s</m:t>
            </m:r>
          </m:e>
          <m:sub>
            <m:r>
              <w:rPr>
                <w:rFonts w:ascii="Cambria Math" w:hAnsi="Cambria Math"/>
                <w:color w:val="000000" w:themeColor="text1"/>
                <w:sz w:val="16"/>
                <w:szCs w:val="16"/>
              </w:rPr>
              <m:t>ij</m:t>
            </m:r>
          </m:sub>
        </m:sSub>
      </m:oMath>
      <w:r w:rsidR="001473CC" w:rsidRPr="00E026BC">
        <w:rPr>
          <w:rFonts w:ascii="Arial" w:hAnsi="Arial"/>
          <w:color w:val="000000" w:themeColor="text1"/>
          <w:sz w:val="16"/>
          <w:szCs w:val="16"/>
        </w:rPr>
        <w:t xml:space="preserve"> is the share of employment in sector i in city j and </w:t>
      </w:r>
      <m:oMath>
        <m:bar>
          <m:barPr>
            <m:pos m:val="top"/>
            <m:ctrlPr>
              <w:rPr>
                <w:rFonts w:ascii="Cambria Math" w:hAnsi="Cambria Math" w:cs="Arial"/>
                <w:i/>
                <w:color w:val="000000" w:themeColor="text1"/>
                <w:sz w:val="16"/>
                <w:szCs w:val="16"/>
              </w:rPr>
            </m:ctrlPr>
          </m:barPr>
          <m:e>
            <m:sSub>
              <m:sSubPr>
                <m:ctrlPr>
                  <w:rPr>
                    <w:rFonts w:ascii="Cambria Math" w:hAnsi="Cambria Math" w:cs="Arial"/>
                    <w:i/>
                    <w:color w:val="000000" w:themeColor="text1"/>
                    <w:sz w:val="16"/>
                    <w:szCs w:val="16"/>
                  </w:rPr>
                </m:ctrlPr>
              </m:sSubPr>
              <m:e>
                <m:r>
                  <w:rPr>
                    <w:rFonts w:ascii="Cambria Math" w:hAnsi="Cambria Math" w:cs="Arial"/>
                    <w:color w:val="000000" w:themeColor="text1"/>
                    <w:sz w:val="16"/>
                    <w:szCs w:val="16"/>
                  </w:rPr>
                  <m:t>s</m:t>
                </m:r>
              </m:e>
              <m:sub>
                <m:r>
                  <w:rPr>
                    <w:rFonts w:ascii="Cambria Math" w:hAnsi="Cambria Math" w:cs="Arial"/>
                    <w:color w:val="000000" w:themeColor="text1"/>
                    <w:sz w:val="16"/>
                    <w:szCs w:val="16"/>
                  </w:rPr>
                  <m:t>ij</m:t>
                </m:r>
              </m:sub>
            </m:sSub>
          </m:e>
        </m:bar>
      </m:oMath>
      <w:r w:rsidR="001473CC" w:rsidRPr="00E026BC">
        <w:rPr>
          <w:rFonts w:ascii="Arial" w:hAnsi="Arial"/>
          <w:color w:val="000000" w:themeColor="text1"/>
          <w:sz w:val="16"/>
          <w:szCs w:val="16"/>
        </w:rPr>
        <w:t xml:space="preserve"> is the average share across all cities not including the city itself (j) (ie the city for which the KSI is calculated). The KSI is also closely related to the Relative Diversity Index (RDI) which is its inverse. The KSI can take values between 2 and 0. A Value of 0 implies that the economic structure is similar to the reference structure (e.g. the country average), while a higher value means increased specialisation or deviation away from this nor</w:t>
      </w:r>
      <w:r w:rsidR="001473CC">
        <w:rPr>
          <w:rFonts w:ascii="Arial" w:hAnsi="Arial"/>
          <w:color w:val="000000" w:themeColor="text1"/>
          <w:sz w:val="16"/>
          <w:szCs w:val="16"/>
        </w:rPr>
        <w:t>m.</w:t>
      </w:r>
    </w:p>
    <w:p w:rsidR="004329D3" w:rsidRPr="00E026BC" w:rsidRDefault="004329D3">
      <w:pPr>
        <w:pStyle w:val="FootnoteText"/>
        <w:rPr>
          <w:b/>
          <w:sz w:val="16"/>
          <w:szCs w:val="16"/>
        </w:rPr>
      </w:pPr>
    </w:p>
  </w:footnote>
  <w:footnote w:id="5">
    <w:p w:rsidR="004329D3" w:rsidRPr="00F43F9A" w:rsidRDefault="004329D3" w:rsidP="002D5E9F">
      <w:pPr>
        <w:jc w:val="both"/>
        <w:rPr>
          <w:rFonts w:ascii="Cambria" w:hAnsi="Cambria"/>
          <w:b/>
          <w:sz w:val="20"/>
          <w:szCs w:val="20"/>
        </w:rPr>
      </w:pPr>
      <w:r w:rsidRPr="00F43F9A">
        <w:rPr>
          <w:rStyle w:val="FootnoteReference"/>
          <w:sz w:val="20"/>
          <w:szCs w:val="20"/>
        </w:rPr>
        <w:footnoteRef/>
      </w:r>
      <w:r w:rsidRPr="00F43F9A">
        <w:rPr>
          <w:sz w:val="20"/>
          <w:szCs w:val="20"/>
        </w:rPr>
        <w:t xml:space="preserve"> </w:t>
      </w:r>
    </w:p>
    <w:p w:rsidR="004329D3" w:rsidRPr="00F43F9A" w:rsidRDefault="004329D3" w:rsidP="00EE617C">
      <w:pPr>
        <w:tabs>
          <w:tab w:val="left" w:pos="0"/>
          <w:tab w:val="left" w:pos="1200"/>
        </w:tabs>
        <w:ind w:right="-8"/>
        <w:jc w:val="both"/>
        <w:rPr>
          <w:b/>
          <w:i/>
          <w:sz w:val="20"/>
          <w:szCs w:val="20"/>
        </w:rPr>
      </w:pPr>
      <w:r w:rsidRPr="002B19CD">
        <w:rPr>
          <w:sz w:val="20"/>
          <w:szCs w:val="20"/>
        </w:rPr>
        <w:t xml:space="preserve">Establishment data for by Sector for </w:t>
      </w:r>
      <w:r w:rsidRPr="002B19CD">
        <w:rPr>
          <w:color w:val="000000"/>
          <w:sz w:val="20"/>
          <w:szCs w:val="20"/>
        </w:rPr>
        <w:t>Local Authority Areas in Selected Case Study Regions.</w:t>
      </w:r>
      <w:r w:rsidRPr="00F43F9A">
        <w:rPr>
          <w:color w:val="000000"/>
          <w:sz w:val="20"/>
          <w:szCs w:val="20"/>
        </w:rPr>
        <w:t xml:space="preserve"> </w:t>
      </w:r>
      <w:r w:rsidRPr="00F43F9A">
        <w:rPr>
          <w:sz w:val="20"/>
          <w:szCs w:val="20"/>
        </w:rPr>
        <w:t xml:space="preserve">The analysis presented in this article uses time series data held by Trends Business Research (TBR, Newcastle). The TBR data base is derived from Dunn and Bradstreet (D&amp;B) files. </w:t>
      </w:r>
      <w:r w:rsidRPr="00F43F9A">
        <w:rPr>
          <w:color w:val="330000"/>
          <w:sz w:val="20"/>
          <w:szCs w:val="20"/>
        </w:rPr>
        <w:t xml:space="preserve">A key aspect of the TBR data set is that it can be used to identify the relationships at detailed cohort and sectoral level between actual firm change and change in employment levels. This ‘components of change’ analysis measures exactly the attributes which this study seeks to address at the local level (based upon 6 digit post codes), and allows the study of three key dimensions of firm dynamics: continuing firms, firm births, and firm deaths. </w:t>
      </w:r>
    </w:p>
    <w:p w:rsidR="004329D3" w:rsidRPr="002D5E9F" w:rsidRDefault="004329D3">
      <w:pPr>
        <w:pStyle w:val="FootnoteText"/>
        <w:rPr>
          <w:lang w:val="en-GB"/>
        </w:rPr>
      </w:pPr>
    </w:p>
  </w:footnote>
  <w:footnote w:id="6">
    <w:p w:rsidR="004329D3" w:rsidRPr="00915298" w:rsidRDefault="004329D3" w:rsidP="00CB7410">
      <w:pPr>
        <w:pStyle w:val="FootnoteText"/>
        <w:rPr>
          <w:lang w:val="en-GB"/>
        </w:rPr>
      </w:pPr>
      <w:r w:rsidRPr="005715F6">
        <w:rPr>
          <w:rStyle w:val="FootnoteReference"/>
          <w:b/>
        </w:rPr>
        <w:footnoteRef/>
      </w:r>
      <w:r w:rsidRPr="005715F6">
        <w:rPr>
          <w:b/>
        </w:rPr>
        <w:t xml:space="preserve"> </w:t>
      </w:r>
      <w:r>
        <w:t xml:space="preserve">An enterprise has been defined for statistical purposes as ‘the smallest combination of legal units that is an organisational unit producing goods or services, which benefits from a certain degree of autonomy in decision making, especially for the allocation of its current resources. An enterprise carries out one or more activities at one or more locations. </w:t>
      </w:r>
    </w:p>
  </w:footnote>
  <w:footnote w:id="7">
    <w:p w:rsidR="004329D3" w:rsidRPr="009344B1" w:rsidRDefault="004329D3">
      <w:pPr>
        <w:pStyle w:val="FootnoteText"/>
        <w:rPr>
          <w:lang w:val="en-GB"/>
        </w:rPr>
      </w:pPr>
      <w:r>
        <w:rPr>
          <w:rStyle w:val="FootnoteReference"/>
        </w:rPr>
        <w:footnoteRef/>
      </w:r>
      <w:r>
        <w:t xml:space="preserve"> </w:t>
      </w:r>
      <w:r>
        <w:rPr>
          <w:lang w:val="en-GB"/>
        </w:rPr>
        <w:t xml:space="preserve">See </w:t>
      </w:r>
      <w:hyperlink r:id="rId1" w:history="1">
        <w:r w:rsidRPr="009E00E3">
          <w:rPr>
            <w:rStyle w:val="Hyperlink"/>
            <w:lang w:val="en-GB"/>
          </w:rPr>
          <w:t>https://www.gov.uk/government/policies/supporting-economic-growth-through-local-enterprise-partnerships-and-enterprise-zones/supporting-pages/local-enterprise-partnerships</w:t>
        </w:r>
      </w:hyperlink>
      <w:r>
        <w:rPr>
          <w:lang w:val="en-GB"/>
        </w:rPr>
        <w:t xml:space="preserve"> for more information.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E705A62"/>
    <w:lvl w:ilvl="0">
      <w:start w:val="11"/>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TEXTMAIN"/>
      <w:lvlText w:val="%1.%2.%3"/>
      <w:lvlJc w:val="left"/>
      <w:pPr>
        <w:tabs>
          <w:tab w:val="num" w:pos="1980"/>
        </w:tabs>
        <w:ind w:left="198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nsid w:val="06BB72F9"/>
    <w:multiLevelType w:val="hybridMultilevel"/>
    <w:tmpl w:val="C4B28478"/>
    <w:lvl w:ilvl="0" w:tplc="715E922E">
      <w:start w:val="1"/>
      <w:numFmt w:val="decimal"/>
      <w:lvlText w:val="%1."/>
      <w:lvlJc w:val="left"/>
      <w:pPr>
        <w:ind w:left="1080" w:hanging="360"/>
      </w:pPr>
      <w:rPr>
        <w:rFonts w:hint="default"/>
      </w:rPr>
    </w:lvl>
    <w:lvl w:ilvl="1" w:tplc="93E65A8C" w:tentative="1">
      <w:start w:val="1"/>
      <w:numFmt w:val="lowerLetter"/>
      <w:lvlText w:val="%2."/>
      <w:lvlJc w:val="left"/>
      <w:pPr>
        <w:ind w:left="1800" w:hanging="360"/>
      </w:pPr>
    </w:lvl>
    <w:lvl w:ilvl="2" w:tplc="FED24950" w:tentative="1">
      <w:start w:val="1"/>
      <w:numFmt w:val="lowerRoman"/>
      <w:lvlText w:val="%3."/>
      <w:lvlJc w:val="right"/>
      <w:pPr>
        <w:ind w:left="2520" w:hanging="180"/>
      </w:pPr>
    </w:lvl>
    <w:lvl w:ilvl="3" w:tplc="F5C6457C" w:tentative="1">
      <w:start w:val="1"/>
      <w:numFmt w:val="decimal"/>
      <w:lvlText w:val="%4."/>
      <w:lvlJc w:val="left"/>
      <w:pPr>
        <w:ind w:left="3240" w:hanging="360"/>
      </w:pPr>
    </w:lvl>
    <w:lvl w:ilvl="4" w:tplc="11C63864" w:tentative="1">
      <w:start w:val="1"/>
      <w:numFmt w:val="lowerLetter"/>
      <w:lvlText w:val="%5."/>
      <w:lvlJc w:val="left"/>
      <w:pPr>
        <w:ind w:left="3960" w:hanging="360"/>
      </w:pPr>
    </w:lvl>
    <w:lvl w:ilvl="5" w:tplc="ACFE123E" w:tentative="1">
      <w:start w:val="1"/>
      <w:numFmt w:val="lowerRoman"/>
      <w:lvlText w:val="%6."/>
      <w:lvlJc w:val="right"/>
      <w:pPr>
        <w:ind w:left="4680" w:hanging="180"/>
      </w:pPr>
    </w:lvl>
    <w:lvl w:ilvl="6" w:tplc="452637E8" w:tentative="1">
      <w:start w:val="1"/>
      <w:numFmt w:val="decimal"/>
      <w:lvlText w:val="%7."/>
      <w:lvlJc w:val="left"/>
      <w:pPr>
        <w:ind w:left="5400" w:hanging="360"/>
      </w:pPr>
    </w:lvl>
    <w:lvl w:ilvl="7" w:tplc="09B01C9E" w:tentative="1">
      <w:start w:val="1"/>
      <w:numFmt w:val="lowerLetter"/>
      <w:lvlText w:val="%8."/>
      <w:lvlJc w:val="left"/>
      <w:pPr>
        <w:ind w:left="6120" w:hanging="360"/>
      </w:pPr>
    </w:lvl>
    <w:lvl w:ilvl="8" w:tplc="37D66F02" w:tentative="1">
      <w:start w:val="1"/>
      <w:numFmt w:val="lowerRoman"/>
      <w:lvlText w:val="%9."/>
      <w:lvlJc w:val="right"/>
      <w:pPr>
        <w:ind w:left="6840" w:hanging="180"/>
      </w:pPr>
    </w:lvl>
  </w:abstractNum>
  <w:abstractNum w:abstractNumId="2">
    <w:nsid w:val="08EB50A9"/>
    <w:multiLevelType w:val="singleLevel"/>
    <w:tmpl w:val="E42AD9EA"/>
    <w:lvl w:ilvl="0">
      <w:start w:val="1"/>
      <w:numFmt w:val="bullet"/>
      <w:pStyle w:val="Level1Bullets"/>
      <w:lvlText w:val=""/>
      <w:legacy w:legacy="1" w:legacySpace="0" w:legacyIndent="432"/>
      <w:lvlJc w:val="left"/>
      <w:pPr>
        <w:ind w:left="721" w:hanging="432"/>
      </w:pPr>
      <w:rPr>
        <w:rFonts w:ascii="Symbol" w:hAnsi="Symbol" w:hint="default"/>
      </w:rPr>
    </w:lvl>
  </w:abstractNum>
  <w:abstractNum w:abstractNumId="3">
    <w:nsid w:val="09D6027A"/>
    <w:multiLevelType w:val="multilevel"/>
    <w:tmpl w:val="AFA01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963E15"/>
    <w:multiLevelType w:val="hybridMultilevel"/>
    <w:tmpl w:val="4988548C"/>
    <w:lvl w:ilvl="0" w:tplc="13506AFC">
      <w:start w:val="1"/>
      <w:numFmt w:val="decimal"/>
      <w:lvlText w:val="%1."/>
      <w:lvlJc w:val="left"/>
      <w:pPr>
        <w:ind w:left="1080" w:hanging="360"/>
      </w:pPr>
      <w:rPr>
        <w:rFonts w:hint="default"/>
      </w:rPr>
    </w:lvl>
    <w:lvl w:ilvl="1" w:tplc="D2582C0A">
      <w:start w:val="1"/>
      <w:numFmt w:val="lowerLetter"/>
      <w:lvlText w:val="%2."/>
      <w:lvlJc w:val="left"/>
      <w:pPr>
        <w:ind w:left="1800" w:hanging="360"/>
      </w:pPr>
    </w:lvl>
    <w:lvl w:ilvl="2" w:tplc="FAECB260" w:tentative="1">
      <w:start w:val="1"/>
      <w:numFmt w:val="lowerRoman"/>
      <w:lvlText w:val="%3."/>
      <w:lvlJc w:val="right"/>
      <w:pPr>
        <w:ind w:left="2520" w:hanging="180"/>
      </w:pPr>
    </w:lvl>
    <w:lvl w:ilvl="3" w:tplc="90FCA264" w:tentative="1">
      <w:start w:val="1"/>
      <w:numFmt w:val="decimal"/>
      <w:lvlText w:val="%4."/>
      <w:lvlJc w:val="left"/>
      <w:pPr>
        <w:ind w:left="3240" w:hanging="360"/>
      </w:pPr>
    </w:lvl>
    <w:lvl w:ilvl="4" w:tplc="83969282" w:tentative="1">
      <w:start w:val="1"/>
      <w:numFmt w:val="lowerLetter"/>
      <w:lvlText w:val="%5."/>
      <w:lvlJc w:val="left"/>
      <w:pPr>
        <w:ind w:left="3960" w:hanging="360"/>
      </w:pPr>
    </w:lvl>
    <w:lvl w:ilvl="5" w:tplc="F87899BC" w:tentative="1">
      <w:start w:val="1"/>
      <w:numFmt w:val="lowerRoman"/>
      <w:lvlText w:val="%6."/>
      <w:lvlJc w:val="right"/>
      <w:pPr>
        <w:ind w:left="4680" w:hanging="180"/>
      </w:pPr>
    </w:lvl>
    <w:lvl w:ilvl="6" w:tplc="2B06F532" w:tentative="1">
      <w:start w:val="1"/>
      <w:numFmt w:val="decimal"/>
      <w:lvlText w:val="%7."/>
      <w:lvlJc w:val="left"/>
      <w:pPr>
        <w:ind w:left="5400" w:hanging="360"/>
      </w:pPr>
    </w:lvl>
    <w:lvl w:ilvl="7" w:tplc="498C0A44" w:tentative="1">
      <w:start w:val="1"/>
      <w:numFmt w:val="lowerLetter"/>
      <w:lvlText w:val="%8."/>
      <w:lvlJc w:val="left"/>
      <w:pPr>
        <w:ind w:left="6120" w:hanging="360"/>
      </w:pPr>
    </w:lvl>
    <w:lvl w:ilvl="8" w:tplc="0E9A87B4" w:tentative="1">
      <w:start w:val="1"/>
      <w:numFmt w:val="lowerRoman"/>
      <w:lvlText w:val="%9."/>
      <w:lvlJc w:val="right"/>
      <w:pPr>
        <w:ind w:left="6840" w:hanging="180"/>
      </w:pPr>
    </w:lvl>
  </w:abstractNum>
  <w:abstractNum w:abstractNumId="5">
    <w:nsid w:val="15452414"/>
    <w:multiLevelType w:val="hybridMultilevel"/>
    <w:tmpl w:val="088428D4"/>
    <w:lvl w:ilvl="0" w:tplc="3F564788">
      <w:start w:val="1"/>
      <w:numFmt w:val="decimal"/>
      <w:lvlText w:val="%1"/>
      <w:lvlJc w:val="left"/>
      <w:pPr>
        <w:ind w:left="1080" w:hanging="360"/>
      </w:pPr>
      <w:rPr>
        <w:rFonts w:hint="default"/>
      </w:rPr>
    </w:lvl>
    <w:lvl w:ilvl="1" w:tplc="9D1CCC9C" w:tentative="1">
      <w:start w:val="1"/>
      <w:numFmt w:val="lowerLetter"/>
      <w:lvlText w:val="%2."/>
      <w:lvlJc w:val="left"/>
      <w:pPr>
        <w:ind w:left="1800" w:hanging="360"/>
      </w:pPr>
    </w:lvl>
    <w:lvl w:ilvl="2" w:tplc="F54E3E1E" w:tentative="1">
      <w:start w:val="1"/>
      <w:numFmt w:val="lowerRoman"/>
      <w:lvlText w:val="%3."/>
      <w:lvlJc w:val="right"/>
      <w:pPr>
        <w:ind w:left="2520" w:hanging="180"/>
      </w:pPr>
    </w:lvl>
    <w:lvl w:ilvl="3" w:tplc="7B329342" w:tentative="1">
      <w:start w:val="1"/>
      <w:numFmt w:val="decimal"/>
      <w:lvlText w:val="%4."/>
      <w:lvlJc w:val="left"/>
      <w:pPr>
        <w:ind w:left="3240" w:hanging="360"/>
      </w:pPr>
    </w:lvl>
    <w:lvl w:ilvl="4" w:tplc="F66C27BE" w:tentative="1">
      <w:start w:val="1"/>
      <w:numFmt w:val="lowerLetter"/>
      <w:lvlText w:val="%5."/>
      <w:lvlJc w:val="left"/>
      <w:pPr>
        <w:ind w:left="3960" w:hanging="360"/>
      </w:pPr>
    </w:lvl>
    <w:lvl w:ilvl="5" w:tplc="32B00D0A" w:tentative="1">
      <w:start w:val="1"/>
      <w:numFmt w:val="lowerRoman"/>
      <w:lvlText w:val="%6."/>
      <w:lvlJc w:val="right"/>
      <w:pPr>
        <w:ind w:left="4680" w:hanging="180"/>
      </w:pPr>
    </w:lvl>
    <w:lvl w:ilvl="6" w:tplc="BB46F762" w:tentative="1">
      <w:start w:val="1"/>
      <w:numFmt w:val="decimal"/>
      <w:lvlText w:val="%7."/>
      <w:lvlJc w:val="left"/>
      <w:pPr>
        <w:ind w:left="5400" w:hanging="360"/>
      </w:pPr>
    </w:lvl>
    <w:lvl w:ilvl="7" w:tplc="30C43BEC" w:tentative="1">
      <w:start w:val="1"/>
      <w:numFmt w:val="lowerLetter"/>
      <w:lvlText w:val="%8."/>
      <w:lvlJc w:val="left"/>
      <w:pPr>
        <w:ind w:left="6120" w:hanging="360"/>
      </w:pPr>
    </w:lvl>
    <w:lvl w:ilvl="8" w:tplc="2B907D9E" w:tentative="1">
      <w:start w:val="1"/>
      <w:numFmt w:val="lowerRoman"/>
      <w:lvlText w:val="%9."/>
      <w:lvlJc w:val="right"/>
      <w:pPr>
        <w:ind w:left="6840" w:hanging="180"/>
      </w:pPr>
    </w:lvl>
  </w:abstractNum>
  <w:abstractNum w:abstractNumId="6">
    <w:nsid w:val="1C2F695D"/>
    <w:multiLevelType w:val="hybridMultilevel"/>
    <w:tmpl w:val="39B40BDE"/>
    <w:lvl w:ilvl="0" w:tplc="08090001">
      <w:start w:val="2"/>
      <w:numFmt w:val="decimal"/>
      <w:lvlText w:val="%1."/>
      <w:lvlJc w:val="left"/>
      <w:pPr>
        <w:ind w:left="1080" w:hanging="360"/>
      </w:pPr>
      <w:rPr>
        <w:rFonts w:hint="default"/>
      </w:rPr>
    </w:lvl>
    <w:lvl w:ilvl="1" w:tplc="08090003" w:tentative="1">
      <w:start w:val="1"/>
      <w:numFmt w:val="lowerLetter"/>
      <w:lvlText w:val="%2."/>
      <w:lvlJc w:val="left"/>
      <w:pPr>
        <w:ind w:left="1800" w:hanging="360"/>
      </w:pPr>
    </w:lvl>
    <w:lvl w:ilvl="2" w:tplc="08090005" w:tentative="1">
      <w:start w:val="1"/>
      <w:numFmt w:val="lowerRoman"/>
      <w:lvlText w:val="%3."/>
      <w:lvlJc w:val="right"/>
      <w:pPr>
        <w:ind w:left="2520" w:hanging="180"/>
      </w:pPr>
    </w:lvl>
    <w:lvl w:ilvl="3" w:tplc="08090001" w:tentative="1">
      <w:start w:val="1"/>
      <w:numFmt w:val="decimal"/>
      <w:lvlText w:val="%4."/>
      <w:lvlJc w:val="left"/>
      <w:pPr>
        <w:ind w:left="3240" w:hanging="360"/>
      </w:pPr>
    </w:lvl>
    <w:lvl w:ilvl="4" w:tplc="08090003" w:tentative="1">
      <w:start w:val="1"/>
      <w:numFmt w:val="lowerLetter"/>
      <w:lvlText w:val="%5."/>
      <w:lvlJc w:val="left"/>
      <w:pPr>
        <w:ind w:left="3960" w:hanging="360"/>
      </w:pPr>
    </w:lvl>
    <w:lvl w:ilvl="5" w:tplc="08090005" w:tentative="1">
      <w:start w:val="1"/>
      <w:numFmt w:val="lowerRoman"/>
      <w:lvlText w:val="%6."/>
      <w:lvlJc w:val="right"/>
      <w:pPr>
        <w:ind w:left="4680" w:hanging="180"/>
      </w:pPr>
    </w:lvl>
    <w:lvl w:ilvl="6" w:tplc="08090001" w:tentative="1">
      <w:start w:val="1"/>
      <w:numFmt w:val="decimal"/>
      <w:lvlText w:val="%7."/>
      <w:lvlJc w:val="left"/>
      <w:pPr>
        <w:ind w:left="5400" w:hanging="360"/>
      </w:pPr>
    </w:lvl>
    <w:lvl w:ilvl="7" w:tplc="08090003" w:tentative="1">
      <w:start w:val="1"/>
      <w:numFmt w:val="lowerLetter"/>
      <w:lvlText w:val="%8."/>
      <w:lvlJc w:val="left"/>
      <w:pPr>
        <w:ind w:left="6120" w:hanging="360"/>
      </w:pPr>
    </w:lvl>
    <w:lvl w:ilvl="8" w:tplc="08090005" w:tentative="1">
      <w:start w:val="1"/>
      <w:numFmt w:val="lowerRoman"/>
      <w:lvlText w:val="%9."/>
      <w:lvlJc w:val="right"/>
      <w:pPr>
        <w:ind w:left="6840" w:hanging="180"/>
      </w:pPr>
    </w:lvl>
  </w:abstractNum>
  <w:abstractNum w:abstractNumId="7">
    <w:nsid w:val="22EA149B"/>
    <w:multiLevelType w:val="hybridMultilevel"/>
    <w:tmpl w:val="E6BE8B54"/>
    <w:lvl w:ilvl="0" w:tplc="7660A232">
      <w:start w:val="1"/>
      <w:numFmt w:val="decimal"/>
      <w:pStyle w:val="1ListNumbered"/>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DDA52D9"/>
    <w:multiLevelType w:val="hybridMultilevel"/>
    <w:tmpl w:val="D8ACF442"/>
    <w:lvl w:ilvl="0" w:tplc="94C85442">
      <w:start w:val="1"/>
      <w:numFmt w:val="bullet"/>
      <w:lvlText w:val=""/>
      <w:lvlJc w:val="left"/>
      <w:pPr>
        <w:ind w:left="1080" w:hanging="360"/>
      </w:pPr>
      <w:rPr>
        <w:rFonts w:ascii="Symbol" w:hAnsi="Symbol" w:hint="default"/>
      </w:rPr>
    </w:lvl>
    <w:lvl w:ilvl="1" w:tplc="F8B02342" w:tentative="1">
      <w:start w:val="1"/>
      <w:numFmt w:val="bullet"/>
      <w:lvlText w:val="o"/>
      <w:lvlJc w:val="left"/>
      <w:pPr>
        <w:ind w:left="1800" w:hanging="360"/>
      </w:pPr>
      <w:rPr>
        <w:rFonts w:ascii="Courier New" w:hAnsi="Courier New" w:cs="Courier New" w:hint="default"/>
      </w:rPr>
    </w:lvl>
    <w:lvl w:ilvl="2" w:tplc="EE6654AC" w:tentative="1">
      <w:start w:val="1"/>
      <w:numFmt w:val="bullet"/>
      <w:lvlText w:val=""/>
      <w:lvlJc w:val="left"/>
      <w:pPr>
        <w:ind w:left="2520" w:hanging="360"/>
      </w:pPr>
      <w:rPr>
        <w:rFonts w:ascii="Wingdings" w:hAnsi="Wingdings" w:hint="default"/>
      </w:rPr>
    </w:lvl>
    <w:lvl w:ilvl="3" w:tplc="BE3EC680" w:tentative="1">
      <w:start w:val="1"/>
      <w:numFmt w:val="bullet"/>
      <w:lvlText w:val=""/>
      <w:lvlJc w:val="left"/>
      <w:pPr>
        <w:ind w:left="3240" w:hanging="360"/>
      </w:pPr>
      <w:rPr>
        <w:rFonts w:ascii="Symbol" w:hAnsi="Symbol" w:hint="default"/>
      </w:rPr>
    </w:lvl>
    <w:lvl w:ilvl="4" w:tplc="A8960A5C" w:tentative="1">
      <w:start w:val="1"/>
      <w:numFmt w:val="bullet"/>
      <w:lvlText w:val="o"/>
      <w:lvlJc w:val="left"/>
      <w:pPr>
        <w:ind w:left="3960" w:hanging="360"/>
      </w:pPr>
      <w:rPr>
        <w:rFonts w:ascii="Courier New" w:hAnsi="Courier New" w:cs="Courier New" w:hint="default"/>
      </w:rPr>
    </w:lvl>
    <w:lvl w:ilvl="5" w:tplc="D8AE0C80" w:tentative="1">
      <w:start w:val="1"/>
      <w:numFmt w:val="bullet"/>
      <w:lvlText w:val=""/>
      <w:lvlJc w:val="left"/>
      <w:pPr>
        <w:ind w:left="4680" w:hanging="360"/>
      </w:pPr>
      <w:rPr>
        <w:rFonts w:ascii="Wingdings" w:hAnsi="Wingdings" w:hint="default"/>
      </w:rPr>
    </w:lvl>
    <w:lvl w:ilvl="6" w:tplc="DEDC4D24" w:tentative="1">
      <w:start w:val="1"/>
      <w:numFmt w:val="bullet"/>
      <w:lvlText w:val=""/>
      <w:lvlJc w:val="left"/>
      <w:pPr>
        <w:ind w:left="5400" w:hanging="360"/>
      </w:pPr>
      <w:rPr>
        <w:rFonts w:ascii="Symbol" w:hAnsi="Symbol" w:hint="default"/>
      </w:rPr>
    </w:lvl>
    <w:lvl w:ilvl="7" w:tplc="C2D88806" w:tentative="1">
      <w:start w:val="1"/>
      <w:numFmt w:val="bullet"/>
      <w:lvlText w:val="o"/>
      <w:lvlJc w:val="left"/>
      <w:pPr>
        <w:ind w:left="6120" w:hanging="360"/>
      </w:pPr>
      <w:rPr>
        <w:rFonts w:ascii="Courier New" w:hAnsi="Courier New" w:cs="Courier New" w:hint="default"/>
      </w:rPr>
    </w:lvl>
    <w:lvl w:ilvl="8" w:tplc="F82AFDAE" w:tentative="1">
      <w:start w:val="1"/>
      <w:numFmt w:val="bullet"/>
      <w:lvlText w:val=""/>
      <w:lvlJc w:val="left"/>
      <w:pPr>
        <w:ind w:left="6840" w:hanging="360"/>
      </w:pPr>
      <w:rPr>
        <w:rFonts w:ascii="Wingdings" w:hAnsi="Wingdings" w:hint="default"/>
      </w:rPr>
    </w:lvl>
  </w:abstractNum>
  <w:abstractNum w:abstractNumId="9">
    <w:nsid w:val="2EE30411"/>
    <w:multiLevelType w:val="hybridMultilevel"/>
    <w:tmpl w:val="DDDA85AA"/>
    <w:lvl w:ilvl="0" w:tplc="2DBAC3D8">
      <w:start w:val="1"/>
      <w:numFmt w:val="bullet"/>
      <w:lvlText w:val=""/>
      <w:lvlJc w:val="left"/>
      <w:pPr>
        <w:ind w:left="765" w:hanging="360"/>
      </w:pPr>
      <w:rPr>
        <w:rFonts w:ascii="Symbol" w:hAnsi="Symbol" w:hint="default"/>
      </w:rPr>
    </w:lvl>
    <w:lvl w:ilvl="1" w:tplc="08090019" w:tentative="1">
      <w:start w:val="1"/>
      <w:numFmt w:val="bullet"/>
      <w:lvlText w:val="o"/>
      <w:lvlJc w:val="left"/>
      <w:pPr>
        <w:ind w:left="1485" w:hanging="360"/>
      </w:pPr>
      <w:rPr>
        <w:rFonts w:ascii="Courier New" w:hAnsi="Courier New" w:cs="Courier New" w:hint="default"/>
      </w:rPr>
    </w:lvl>
    <w:lvl w:ilvl="2" w:tplc="0809001B" w:tentative="1">
      <w:start w:val="1"/>
      <w:numFmt w:val="bullet"/>
      <w:lvlText w:val=""/>
      <w:lvlJc w:val="left"/>
      <w:pPr>
        <w:ind w:left="2205" w:hanging="360"/>
      </w:pPr>
      <w:rPr>
        <w:rFonts w:ascii="Wingdings" w:hAnsi="Wingdings" w:hint="default"/>
      </w:rPr>
    </w:lvl>
    <w:lvl w:ilvl="3" w:tplc="0809000F" w:tentative="1">
      <w:start w:val="1"/>
      <w:numFmt w:val="bullet"/>
      <w:lvlText w:val=""/>
      <w:lvlJc w:val="left"/>
      <w:pPr>
        <w:ind w:left="2925" w:hanging="360"/>
      </w:pPr>
      <w:rPr>
        <w:rFonts w:ascii="Symbol" w:hAnsi="Symbol" w:hint="default"/>
      </w:rPr>
    </w:lvl>
    <w:lvl w:ilvl="4" w:tplc="08090019" w:tentative="1">
      <w:start w:val="1"/>
      <w:numFmt w:val="bullet"/>
      <w:lvlText w:val="o"/>
      <w:lvlJc w:val="left"/>
      <w:pPr>
        <w:ind w:left="3645" w:hanging="360"/>
      </w:pPr>
      <w:rPr>
        <w:rFonts w:ascii="Courier New" w:hAnsi="Courier New" w:cs="Courier New" w:hint="default"/>
      </w:rPr>
    </w:lvl>
    <w:lvl w:ilvl="5" w:tplc="0809001B" w:tentative="1">
      <w:start w:val="1"/>
      <w:numFmt w:val="bullet"/>
      <w:lvlText w:val=""/>
      <w:lvlJc w:val="left"/>
      <w:pPr>
        <w:ind w:left="4365" w:hanging="360"/>
      </w:pPr>
      <w:rPr>
        <w:rFonts w:ascii="Wingdings" w:hAnsi="Wingdings" w:hint="default"/>
      </w:rPr>
    </w:lvl>
    <w:lvl w:ilvl="6" w:tplc="0809000F" w:tentative="1">
      <w:start w:val="1"/>
      <w:numFmt w:val="bullet"/>
      <w:lvlText w:val=""/>
      <w:lvlJc w:val="left"/>
      <w:pPr>
        <w:ind w:left="5085" w:hanging="360"/>
      </w:pPr>
      <w:rPr>
        <w:rFonts w:ascii="Symbol" w:hAnsi="Symbol" w:hint="default"/>
      </w:rPr>
    </w:lvl>
    <w:lvl w:ilvl="7" w:tplc="08090019" w:tentative="1">
      <w:start w:val="1"/>
      <w:numFmt w:val="bullet"/>
      <w:lvlText w:val="o"/>
      <w:lvlJc w:val="left"/>
      <w:pPr>
        <w:ind w:left="5805" w:hanging="360"/>
      </w:pPr>
      <w:rPr>
        <w:rFonts w:ascii="Courier New" w:hAnsi="Courier New" w:cs="Courier New" w:hint="default"/>
      </w:rPr>
    </w:lvl>
    <w:lvl w:ilvl="8" w:tplc="0809001B" w:tentative="1">
      <w:start w:val="1"/>
      <w:numFmt w:val="bullet"/>
      <w:lvlText w:val=""/>
      <w:lvlJc w:val="left"/>
      <w:pPr>
        <w:ind w:left="6525" w:hanging="360"/>
      </w:pPr>
      <w:rPr>
        <w:rFonts w:ascii="Wingdings" w:hAnsi="Wingdings" w:hint="default"/>
      </w:rPr>
    </w:lvl>
  </w:abstractNum>
  <w:abstractNum w:abstractNumId="10">
    <w:nsid w:val="394F50ED"/>
    <w:multiLevelType w:val="hybridMultilevel"/>
    <w:tmpl w:val="CFB26394"/>
    <w:lvl w:ilvl="0" w:tplc="F5706312">
      <w:start w:val="1"/>
      <w:numFmt w:val="bullet"/>
      <w:lvlText w:val="•"/>
      <w:lvlJc w:val="left"/>
      <w:pPr>
        <w:tabs>
          <w:tab w:val="num" w:pos="720"/>
        </w:tabs>
        <w:ind w:left="720" w:hanging="360"/>
      </w:pPr>
      <w:rPr>
        <w:rFonts w:ascii="Arial" w:hAnsi="Arial" w:hint="default"/>
      </w:rPr>
    </w:lvl>
    <w:lvl w:ilvl="1" w:tplc="08090019">
      <w:start w:val="1392"/>
      <w:numFmt w:val="bullet"/>
      <w:lvlText w:val="–"/>
      <w:lvlJc w:val="left"/>
      <w:pPr>
        <w:tabs>
          <w:tab w:val="num" w:pos="1440"/>
        </w:tabs>
        <w:ind w:left="1440" w:hanging="360"/>
      </w:pPr>
      <w:rPr>
        <w:rFonts w:ascii="Arial" w:hAnsi="Arial" w:hint="default"/>
      </w:rPr>
    </w:lvl>
    <w:lvl w:ilvl="2" w:tplc="0809001B" w:tentative="1">
      <w:start w:val="1"/>
      <w:numFmt w:val="bullet"/>
      <w:lvlText w:val="•"/>
      <w:lvlJc w:val="left"/>
      <w:pPr>
        <w:tabs>
          <w:tab w:val="num" w:pos="2160"/>
        </w:tabs>
        <w:ind w:left="2160" w:hanging="360"/>
      </w:pPr>
      <w:rPr>
        <w:rFonts w:ascii="Arial" w:hAnsi="Arial" w:hint="default"/>
      </w:rPr>
    </w:lvl>
    <w:lvl w:ilvl="3" w:tplc="0809000F" w:tentative="1">
      <w:start w:val="1"/>
      <w:numFmt w:val="bullet"/>
      <w:lvlText w:val="•"/>
      <w:lvlJc w:val="left"/>
      <w:pPr>
        <w:tabs>
          <w:tab w:val="num" w:pos="2880"/>
        </w:tabs>
        <w:ind w:left="2880" w:hanging="360"/>
      </w:pPr>
      <w:rPr>
        <w:rFonts w:ascii="Arial" w:hAnsi="Arial" w:hint="default"/>
      </w:rPr>
    </w:lvl>
    <w:lvl w:ilvl="4" w:tplc="08090019" w:tentative="1">
      <w:start w:val="1"/>
      <w:numFmt w:val="bullet"/>
      <w:lvlText w:val="•"/>
      <w:lvlJc w:val="left"/>
      <w:pPr>
        <w:tabs>
          <w:tab w:val="num" w:pos="3600"/>
        </w:tabs>
        <w:ind w:left="3600" w:hanging="360"/>
      </w:pPr>
      <w:rPr>
        <w:rFonts w:ascii="Arial" w:hAnsi="Arial" w:hint="default"/>
      </w:rPr>
    </w:lvl>
    <w:lvl w:ilvl="5" w:tplc="0809001B" w:tentative="1">
      <w:start w:val="1"/>
      <w:numFmt w:val="bullet"/>
      <w:lvlText w:val="•"/>
      <w:lvlJc w:val="left"/>
      <w:pPr>
        <w:tabs>
          <w:tab w:val="num" w:pos="4320"/>
        </w:tabs>
        <w:ind w:left="4320" w:hanging="360"/>
      </w:pPr>
      <w:rPr>
        <w:rFonts w:ascii="Arial" w:hAnsi="Arial" w:hint="default"/>
      </w:rPr>
    </w:lvl>
    <w:lvl w:ilvl="6" w:tplc="0809000F" w:tentative="1">
      <w:start w:val="1"/>
      <w:numFmt w:val="bullet"/>
      <w:lvlText w:val="•"/>
      <w:lvlJc w:val="left"/>
      <w:pPr>
        <w:tabs>
          <w:tab w:val="num" w:pos="5040"/>
        </w:tabs>
        <w:ind w:left="5040" w:hanging="360"/>
      </w:pPr>
      <w:rPr>
        <w:rFonts w:ascii="Arial" w:hAnsi="Arial" w:hint="default"/>
      </w:rPr>
    </w:lvl>
    <w:lvl w:ilvl="7" w:tplc="08090019" w:tentative="1">
      <w:start w:val="1"/>
      <w:numFmt w:val="bullet"/>
      <w:lvlText w:val="•"/>
      <w:lvlJc w:val="left"/>
      <w:pPr>
        <w:tabs>
          <w:tab w:val="num" w:pos="5760"/>
        </w:tabs>
        <w:ind w:left="5760" w:hanging="360"/>
      </w:pPr>
      <w:rPr>
        <w:rFonts w:ascii="Arial" w:hAnsi="Arial" w:hint="default"/>
      </w:rPr>
    </w:lvl>
    <w:lvl w:ilvl="8" w:tplc="0809001B" w:tentative="1">
      <w:start w:val="1"/>
      <w:numFmt w:val="bullet"/>
      <w:lvlText w:val="•"/>
      <w:lvlJc w:val="left"/>
      <w:pPr>
        <w:tabs>
          <w:tab w:val="num" w:pos="6480"/>
        </w:tabs>
        <w:ind w:left="6480" w:hanging="360"/>
      </w:pPr>
      <w:rPr>
        <w:rFonts w:ascii="Arial" w:hAnsi="Arial" w:hint="default"/>
      </w:rPr>
    </w:lvl>
  </w:abstractNum>
  <w:abstractNum w:abstractNumId="11">
    <w:nsid w:val="3E504455"/>
    <w:multiLevelType w:val="hybridMultilevel"/>
    <w:tmpl w:val="39B40BDE"/>
    <w:lvl w:ilvl="0" w:tplc="B31E22BE">
      <w:start w:val="2"/>
      <w:numFmt w:val="decimal"/>
      <w:lvlText w:val="%1."/>
      <w:lvlJc w:val="left"/>
      <w:pPr>
        <w:ind w:left="1080" w:hanging="360"/>
      </w:pPr>
      <w:rPr>
        <w:rFonts w:hint="default"/>
      </w:rPr>
    </w:lvl>
    <w:lvl w:ilvl="1" w:tplc="191E1B9A" w:tentative="1">
      <w:start w:val="1"/>
      <w:numFmt w:val="lowerLetter"/>
      <w:lvlText w:val="%2."/>
      <w:lvlJc w:val="left"/>
      <w:pPr>
        <w:ind w:left="1800" w:hanging="360"/>
      </w:pPr>
    </w:lvl>
    <w:lvl w:ilvl="2" w:tplc="25B02836" w:tentative="1">
      <w:start w:val="1"/>
      <w:numFmt w:val="lowerRoman"/>
      <w:lvlText w:val="%3."/>
      <w:lvlJc w:val="right"/>
      <w:pPr>
        <w:ind w:left="2520" w:hanging="180"/>
      </w:pPr>
    </w:lvl>
    <w:lvl w:ilvl="3" w:tplc="F8B6EA7C" w:tentative="1">
      <w:start w:val="1"/>
      <w:numFmt w:val="decimal"/>
      <w:lvlText w:val="%4."/>
      <w:lvlJc w:val="left"/>
      <w:pPr>
        <w:ind w:left="3240" w:hanging="360"/>
      </w:pPr>
    </w:lvl>
    <w:lvl w:ilvl="4" w:tplc="1534AF96" w:tentative="1">
      <w:start w:val="1"/>
      <w:numFmt w:val="lowerLetter"/>
      <w:lvlText w:val="%5."/>
      <w:lvlJc w:val="left"/>
      <w:pPr>
        <w:ind w:left="3960" w:hanging="360"/>
      </w:pPr>
    </w:lvl>
    <w:lvl w:ilvl="5" w:tplc="8CAAC468" w:tentative="1">
      <w:start w:val="1"/>
      <w:numFmt w:val="lowerRoman"/>
      <w:lvlText w:val="%6."/>
      <w:lvlJc w:val="right"/>
      <w:pPr>
        <w:ind w:left="4680" w:hanging="180"/>
      </w:pPr>
    </w:lvl>
    <w:lvl w:ilvl="6" w:tplc="84B8EC8A" w:tentative="1">
      <w:start w:val="1"/>
      <w:numFmt w:val="decimal"/>
      <w:lvlText w:val="%7."/>
      <w:lvlJc w:val="left"/>
      <w:pPr>
        <w:ind w:left="5400" w:hanging="360"/>
      </w:pPr>
    </w:lvl>
    <w:lvl w:ilvl="7" w:tplc="2BC44474" w:tentative="1">
      <w:start w:val="1"/>
      <w:numFmt w:val="lowerLetter"/>
      <w:lvlText w:val="%8."/>
      <w:lvlJc w:val="left"/>
      <w:pPr>
        <w:ind w:left="6120" w:hanging="360"/>
      </w:pPr>
    </w:lvl>
    <w:lvl w:ilvl="8" w:tplc="A0880AB2" w:tentative="1">
      <w:start w:val="1"/>
      <w:numFmt w:val="lowerRoman"/>
      <w:lvlText w:val="%9."/>
      <w:lvlJc w:val="right"/>
      <w:pPr>
        <w:ind w:left="6840" w:hanging="180"/>
      </w:pPr>
    </w:lvl>
  </w:abstractNum>
  <w:abstractNum w:abstractNumId="12">
    <w:nsid w:val="4C092C3A"/>
    <w:multiLevelType w:val="hybridMultilevel"/>
    <w:tmpl w:val="088428D4"/>
    <w:lvl w:ilvl="0" w:tplc="53DEC0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CD372B1"/>
    <w:multiLevelType w:val="hybridMultilevel"/>
    <w:tmpl w:val="66902B46"/>
    <w:lvl w:ilvl="0" w:tplc="08090001">
      <w:start w:val="1"/>
      <w:numFmt w:val="bullet"/>
      <w:lvlText w:val=""/>
      <w:lvlJc w:val="left"/>
      <w:pPr>
        <w:ind w:left="720" w:hanging="360"/>
      </w:pPr>
      <w:rPr>
        <w:rFonts w:ascii="Symbol" w:hAnsi="Symbol" w:hint="default"/>
      </w:rPr>
    </w:lvl>
    <w:lvl w:ilvl="1" w:tplc="08090001"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4">
    <w:nsid w:val="4FC16400"/>
    <w:multiLevelType w:val="singleLevel"/>
    <w:tmpl w:val="48A2C60E"/>
    <w:lvl w:ilvl="0">
      <w:start w:val="1"/>
      <w:numFmt w:val="bullet"/>
      <w:pStyle w:val="Level2Bullets"/>
      <w:lvlText w:val=""/>
      <w:lvlJc w:val="left"/>
      <w:pPr>
        <w:tabs>
          <w:tab w:val="num" w:pos="360"/>
        </w:tabs>
        <w:ind w:left="360" w:hanging="360"/>
      </w:pPr>
      <w:rPr>
        <w:rFonts w:ascii="Symbol" w:hAnsi="Symbol" w:hint="default"/>
        <w:sz w:val="20"/>
      </w:rPr>
    </w:lvl>
  </w:abstractNum>
  <w:abstractNum w:abstractNumId="15">
    <w:nsid w:val="4FCC1BA6"/>
    <w:multiLevelType w:val="hybridMultilevel"/>
    <w:tmpl w:val="FF88BF80"/>
    <w:lvl w:ilvl="0" w:tplc="B596F2E6">
      <w:start w:val="1"/>
      <w:numFmt w:val="bullet"/>
      <w:lvlText w:val=""/>
      <w:lvlJc w:val="left"/>
      <w:pPr>
        <w:ind w:left="720" w:hanging="360"/>
      </w:pPr>
      <w:rPr>
        <w:rFonts w:ascii="Symbol" w:hAnsi="Symbol" w:hint="default"/>
      </w:rPr>
    </w:lvl>
    <w:lvl w:ilvl="1" w:tplc="2C58AA86" w:tentative="1">
      <w:start w:val="1"/>
      <w:numFmt w:val="bullet"/>
      <w:lvlText w:val="o"/>
      <w:lvlJc w:val="left"/>
      <w:pPr>
        <w:ind w:left="1440" w:hanging="360"/>
      </w:pPr>
      <w:rPr>
        <w:rFonts w:ascii="Courier New" w:hAnsi="Courier New" w:cs="Courier New" w:hint="default"/>
      </w:rPr>
    </w:lvl>
    <w:lvl w:ilvl="2" w:tplc="86C83BB6" w:tentative="1">
      <w:start w:val="1"/>
      <w:numFmt w:val="bullet"/>
      <w:lvlText w:val=""/>
      <w:lvlJc w:val="left"/>
      <w:pPr>
        <w:ind w:left="2160" w:hanging="360"/>
      </w:pPr>
      <w:rPr>
        <w:rFonts w:ascii="Wingdings" w:hAnsi="Wingdings" w:hint="default"/>
      </w:rPr>
    </w:lvl>
    <w:lvl w:ilvl="3" w:tplc="47F61A44" w:tentative="1">
      <w:start w:val="1"/>
      <w:numFmt w:val="bullet"/>
      <w:lvlText w:val=""/>
      <w:lvlJc w:val="left"/>
      <w:pPr>
        <w:ind w:left="2880" w:hanging="360"/>
      </w:pPr>
      <w:rPr>
        <w:rFonts w:ascii="Symbol" w:hAnsi="Symbol" w:hint="default"/>
      </w:rPr>
    </w:lvl>
    <w:lvl w:ilvl="4" w:tplc="0702386E" w:tentative="1">
      <w:start w:val="1"/>
      <w:numFmt w:val="bullet"/>
      <w:lvlText w:val="o"/>
      <w:lvlJc w:val="left"/>
      <w:pPr>
        <w:ind w:left="3600" w:hanging="360"/>
      </w:pPr>
      <w:rPr>
        <w:rFonts w:ascii="Courier New" w:hAnsi="Courier New" w:cs="Courier New" w:hint="default"/>
      </w:rPr>
    </w:lvl>
    <w:lvl w:ilvl="5" w:tplc="2FE6E00C" w:tentative="1">
      <w:start w:val="1"/>
      <w:numFmt w:val="bullet"/>
      <w:lvlText w:val=""/>
      <w:lvlJc w:val="left"/>
      <w:pPr>
        <w:ind w:left="4320" w:hanging="360"/>
      </w:pPr>
      <w:rPr>
        <w:rFonts w:ascii="Wingdings" w:hAnsi="Wingdings" w:hint="default"/>
      </w:rPr>
    </w:lvl>
    <w:lvl w:ilvl="6" w:tplc="B1F6AF1E" w:tentative="1">
      <w:start w:val="1"/>
      <w:numFmt w:val="bullet"/>
      <w:lvlText w:val=""/>
      <w:lvlJc w:val="left"/>
      <w:pPr>
        <w:ind w:left="5040" w:hanging="360"/>
      </w:pPr>
      <w:rPr>
        <w:rFonts w:ascii="Symbol" w:hAnsi="Symbol" w:hint="default"/>
      </w:rPr>
    </w:lvl>
    <w:lvl w:ilvl="7" w:tplc="93F6DEE6" w:tentative="1">
      <w:start w:val="1"/>
      <w:numFmt w:val="bullet"/>
      <w:lvlText w:val="o"/>
      <w:lvlJc w:val="left"/>
      <w:pPr>
        <w:ind w:left="5760" w:hanging="360"/>
      </w:pPr>
      <w:rPr>
        <w:rFonts w:ascii="Courier New" w:hAnsi="Courier New" w:cs="Courier New" w:hint="default"/>
      </w:rPr>
    </w:lvl>
    <w:lvl w:ilvl="8" w:tplc="AA0CFDF6" w:tentative="1">
      <w:start w:val="1"/>
      <w:numFmt w:val="bullet"/>
      <w:lvlText w:val=""/>
      <w:lvlJc w:val="left"/>
      <w:pPr>
        <w:ind w:left="6480" w:hanging="360"/>
      </w:pPr>
      <w:rPr>
        <w:rFonts w:ascii="Wingdings" w:hAnsi="Wingdings" w:hint="default"/>
      </w:rPr>
    </w:lvl>
  </w:abstractNum>
  <w:abstractNum w:abstractNumId="16">
    <w:nsid w:val="52287F89"/>
    <w:multiLevelType w:val="hybridMultilevel"/>
    <w:tmpl w:val="85AC8504"/>
    <w:lvl w:ilvl="0" w:tplc="0809000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4D81B18"/>
    <w:multiLevelType w:val="hybridMultilevel"/>
    <w:tmpl w:val="C4B28478"/>
    <w:lvl w:ilvl="0" w:tplc="4B823FE4">
      <w:start w:val="1"/>
      <w:numFmt w:val="decimal"/>
      <w:lvlText w:val="%1."/>
      <w:lvlJc w:val="left"/>
      <w:pPr>
        <w:ind w:left="1080" w:hanging="360"/>
      </w:pPr>
      <w:rPr>
        <w:rFonts w:hint="default"/>
      </w:rPr>
    </w:lvl>
    <w:lvl w:ilvl="1" w:tplc="08090003" w:tentative="1">
      <w:start w:val="1"/>
      <w:numFmt w:val="lowerLetter"/>
      <w:lvlText w:val="%2."/>
      <w:lvlJc w:val="left"/>
      <w:pPr>
        <w:ind w:left="1800" w:hanging="360"/>
      </w:pPr>
    </w:lvl>
    <w:lvl w:ilvl="2" w:tplc="08090005" w:tentative="1">
      <w:start w:val="1"/>
      <w:numFmt w:val="lowerRoman"/>
      <w:lvlText w:val="%3."/>
      <w:lvlJc w:val="right"/>
      <w:pPr>
        <w:ind w:left="2520" w:hanging="180"/>
      </w:pPr>
    </w:lvl>
    <w:lvl w:ilvl="3" w:tplc="08090001" w:tentative="1">
      <w:start w:val="1"/>
      <w:numFmt w:val="decimal"/>
      <w:lvlText w:val="%4."/>
      <w:lvlJc w:val="left"/>
      <w:pPr>
        <w:ind w:left="3240" w:hanging="360"/>
      </w:pPr>
    </w:lvl>
    <w:lvl w:ilvl="4" w:tplc="08090003" w:tentative="1">
      <w:start w:val="1"/>
      <w:numFmt w:val="lowerLetter"/>
      <w:lvlText w:val="%5."/>
      <w:lvlJc w:val="left"/>
      <w:pPr>
        <w:ind w:left="3960" w:hanging="360"/>
      </w:pPr>
    </w:lvl>
    <w:lvl w:ilvl="5" w:tplc="08090005" w:tentative="1">
      <w:start w:val="1"/>
      <w:numFmt w:val="lowerRoman"/>
      <w:lvlText w:val="%6."/>
      <w:lvlJc w:val="right"/>
      <w:pPr>
        <w:ind w:left="4680" w:hanging="180"/>
      </w:pPr>
    </w:lvl>
    <w:lvl w:ilvl="6" w:tplc="08090001" w:tentative="1">
      <w:start w:val="1"/>
      <w:numFmt w:val="decimal"/>
      <w:lvlText w:val="%7."/>
      <w:lvlJc w:val="left"/>
      <w:pPr>
        <w:ind w:left="5400" w:hanging="360"/>
      </w:pPr>
    </w:lvl>
    <w:lvl w:ilvl="7" w:tplc="08090003" w:tentative="1">
      <w:start w:val="1"/>
      <w:numFmt w:val="lowerLetter"/>
      <w:lvlText w:val="%8."/>
      <w:lvlJc w:val="left"/>
      <w:pPr>
        <w:ind w:left="6120" w:hanging="360"/>
      </w:pPr>
    </w:lvl>
    <w:lvl w:ilvl="8" w:tplc="08090005" w:tentative="1">
      <w:start w:val="1"/>
      <w:numFmt w:val="lowerRoman"/>
      <w:lvlText w:val="%9."/>
      <w:lvlJc w:val="right"/>
      <w:pPr>
        <w:ind w:left="6840" w:hanging="180"/>
      </w:pPr>
    </w:lvl>
  </w:abstractNum>
  <w:abstractNum w:abstractNumId="18">
    <w:nsid w:val="55F31AB2"/>
    <w:multiLevelType w:val="hybridMultilevel"/>
    <w:tmpl w:val="E8665190"/>
    <w:lvl w:ilvl="0" w:tplc="53DEC070">
      <w:start w:val="1"/>
      <w:numFmt w:val="bullet"/>
      <w:lvlText w:val=""/>
      <w:lvlJc w:val="left"/>
      <w:pPr>
        <w:ind w:left="720" w:hanging="360"/>
      </w:pPr>
      <w:rPr>
        <w:rFonts w:ascii="Symbol" w:hAnsi="Symbol" w:hint="default"/>
      </w:rPr>
    </w:lvl>
    <w:lvl w:ilvl="1" w:tplc="08090019">
      <w:start w:val="1"/>
      <w:numFmt w:val="bullet"/>
      <w:lvlText w:val=""/>
      <w:lvlJc w:val="left"/>
      <w:pPr>
        <w:ind w:left="1440" w:hanging="360"/>
      </w:pPr>
      <w:rPr>
        <w:rFonts w:ascii="Symbol" w:hAnsi="Symbol"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9">
    <w:nsid w:val="6447426A"/>
    <w:multiLevelType w:val="hybridMultilevel"/>
    <w:tmpl w:val="4988548C"/>
    <w:lvl w:ilvl="0" w:tplc="F570631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64571D00"/>
    <w:multiLevelType w:val="hybridMultilevel"/>
    <w:tmpl w:val="A12EE094"/>
    <w:lvl w:ilvl="0" w:tplc="13506AFC">
      <w:start w:val="1"/>
      <w:numFmt w:val="decimal"/>
      <w:lvlText w:val="%1."/>
      <w:lvlJc w:val="left"/>
      <w:pPr>
        <w:ind w:left="1080" w:hanging="360"/>
      </w:pPr>
      <w:rPr>
        <w:rFonts w:hint="default"/>
      </w:rPr>
    </w:lvl>
    <w:lvl w:ilvl="1" w:tplc="D2582C0A" w:tentative="1">
      <w:start w:val="1"/>
      <w:numFmt w:val="lowerLetter"/>
      <w:lvlText w:val="%2."/>
      <w:lvlJc w:val="left"/>
      <w:pPr>
        <w:ind w:left="1800" w:hanging="360"/>
      </w:pPr>
    </w:lvl>
    <w:lvl w:ilvl="2" w:tplc="FAECB260" w:tentative="1">
      <w:start w:val="1"/>
      <w:numFmt w:val="lowerRoman"/>
      <w:lvlText w:val="%3."/>
      <w:lvlJc w:val="right"/>
      <w:pPr>
        <w:ind w:left="2520" w:hanging="180"/>
      </w:pPr>
    </w:lvl>
    <w:lvl w:ilvl="3" w:tplc="90FCA264" w:tentative="1">
      <w:start w:val="1"/>
      <w:numFmt w:val="decimal"/>
      <w:lvlText w:val="%4."/>
      <w:lvlJc w:val="left"/>
      <w:pPr>
        <w:ind w:left="3240" w:hanging="360"/>
      </w:pPr>
    </w:lvl>
    <w:lvl w:ilvl="4" w:tplc="83969282" w:tentative="1">
      <w:start w:val="1"/>
      <w:numFmt w:val="lowerLetter"/>
      <w:lvlText w:val="%5."/>
      <w:lvlJc w:val="left"/>
      <w:pPr>
        <w:ind w:left="3960" w:hanging="360"/>
      </w:pPr>
    </w:lvl>
    <w:lvl w:ilvl="5" w:tplc="F87899BC" w:tentative="1">
      <w:start w:val="1"/>
      <w:numFmt w:val="lowerRoman"/>
      <w:lvlText w:val="%6."/>
      <w:lvlJc w:val="right"/>
      <w:pPr>
        <w:ind w:left="4680" w:hanging="180"/>
      </w:pPr>
    </w:lvl>
    <w:lvl w:ilvl="6" w:tplc="2B06F532" w:tentative="1">
      <w:start w:val="1"/>
      <w:numFmt w:val="decimal"/>
      <w:lvlText w:val="%7."/>
      <w:lvlJc w:val="left"/>
      <w:pPr>
        <w:ind w:left="5400" w:hanging="360"/>
      </w:pPr>
    </w:lvl>
    <w:lvl w:ilvl="7" w:tplc="498C0A44" w:tentative="1">
      <w:start w:val="1"/>
      <w:numFmt w:val="lowerLetter"/>
      <w:lvlText w:val="%8."/>
      <w:lvlJc w:val="left"/>
      <w:pPr>
        <w:ind w:left="6120" w:hanging="360"/>
      </w:pPr>
    </w:lvl>
    <w:lvl w:ilvl="8" w:tplc="0E9A87B4" w:tentative="1">
      <w:start w:val="1"/>
      <w:numFmt w:val="lowerRoman"/>
      <w:lvlText w:val="%9."/>
      <w:lvlJc w:val="right"/>
      <w:pPr>
        <w:ind w:left="6840" w:hanging="180"/>
      </w:pPr>
    </w:lvl>
  </w:abstractNum>
  <w:abstractNum w:abstractNumId="21">
    <w:nsid w:val="64CA7004"/>
    <w:multiLevelType w:val="hybridMultilevel"/>
    <w:tmpl w:val="88664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AE4082E"/>
    <w:multiLevelType w:val="singleLevel"/>
    <w:tmpl w:val="1E308DF8"/>
    <w:lvl w:ilvl="0">
      <w:start w:val="1"/>
      <w:numFmt w:val="bullet"/>
      <w:pStyle w:val="ListBullet3"/>
      <w:lvlText w:val=""/>
      <w:lvlJc w:val="left"/>
      <w:pPr>
        <w:tabs>
          <w:tab w:val="num" w:pos="360"/>
        </w:tabs>
        <w:ind w:left="360" w:hanging="360"/>
      </w:pPr>
      <w:rPr>
        <w:rFonts w:ascii="Symbol" w:hAnsi="Symbol" w:hint="default"/>
      </w:rPr>
    </w:lvl>
  </w:abstractNum>
  <w:abstractNum w:abstractNumId="23">
    <w:nsid w:val="760C68D4"/>
    <w:multiLevelType w:val="hybridMultilevel"/>
    <w:tmpl w:val="A5E6D258"/>
    <w:lvl w:ilvl="0" w:tplc="A126C4E0">
      <w:start w:val="1"/>
      <w:numFmt w:val="bullet"/>
      <w:lvlText w:val="•"/>
      <w:lvlJc w:val="left"/>
      <w:pPr>
        <w:tabs>
          <w:tab w:val="num" w:pos="720"/>
        </w:tabs>
        <w:ind w:left="720" w:hanging="360"/>
      </w:pPr>
      <w:rPr>
        <w:rFonts w:ascii="Arial" w:hAnsi="Arial" w:hint="default"/>
      </w:rPr>
    </w:lvl>
    <w:lvl w:ilvl="1" w:tplc="08090019">
      <w:start w:val="926"/>
      <w:numFmt w:val="bullet"/>
      <w:lvlText w:val="–"/>
      <w:lvlJc w:val="left"/>
      <w:pPr>
        <w:tabs>
          <w:tab w:val="num" w:pos="1440"/>
        </w:tabs>
        <w:ind w:left="1440" w:hanging="360"/>
      </w:pPr>
      <w:rPr>
        <w:rFonts w:ascii="Arial" w:hAnsi="Arial" w:hint="default"/>
      </w:rPr>
    </w:lvl>
    <w:lvl w:ilvl="2" w:tplc="0809001B" w:tentative="1">
      <w:start w:val="1"/>
      <w:numFmt w:val="bullet"/>
      <w:lvlText w:val="•"/>
      <w:lvlJc w:val="left"/>
      <w:pPr>
        <w:tabs>
          <w:tab w:val="num" w:pos="2160"/>
        </w:tabs>
        <w:ind w:left="2160" w:hanging="360"/>
      </w:pPr>
      <w:rPr>
        <w:rFonts w:ascii="Arial" w:hAnsi="Arial" w:hint="default"/>
      </w:rPr>
    </w:lvl>
    <w:lvl w:ilvl="3" w:tplc="0809000F" w:tentative="1">
      <w:start w:val="1"/>
      <w:numFmt w:val="bullet"/>
      <w:lvlText w:val="•"/>
      <w:lvlJc w:val="left"/>
      <w:pPr>
        <w:tabs>
          <w:tab w:val="num" w:pos="2880"/>
        </w:tabs>
        <w:ind w:left="2880" w:hanging="360"/>
      </w:pPr>
      <w:rPr>
        <w:rFonts w:ascii="Arial" w:hAnsi="Arial" w:hint="default"/>
      </w:rPr>
    </w:lvl>
    <w:lvl w:ilvl="4" w:tplc="08090019" w:tentative="1">
      <w:start w:val="1"/>
      <w:numFmt w:val="bullet"/>
      <w:lvlText w:val="•"/>
      <w:lvlJc w:val="left"/>
      <w:pPr>
        <w:tabs>
          <w:tab w:val="num" w:pos="3600"/>
        </w:tabs>
        <w:ind w:left="3600" w:hanging="360"/>
      </w:pPr>
      <w:rPr>
        <w:rFonts w:ascii="Arial" w:hAnsi="Arial" w:hint="default"/>
      </w:rPr>
    </w:lvl>
    <w:lvl w:ilvl="5" w:tplc="0809001B" w:tentative="1">
      <w:start w:val="1"/>
      <w:numFmt w:val="bullet"/>
      <w:lvlText w:val="•"/>
      <w:lvlJc w:val="left"/>
      <w:pPr>
        <w:tabs>
          <w:tab w:val="num" w:pos="4320"/>
        </w:tabs>
        <w:ind w:left="4320" w:hanging="360"/>
      </w:pPr>
      <w:rPr>
        <w:rFonts w:ascii="Arial" w:hAnsi="Arial" w:hint="default"/>
      </w:rPr>
    </w:lvl>
    <w:lvl w:ilvl="6" w:tplc="0809000F" w:tentative="1">
      <w:start w:val="1"/>
      <w:numFmt w:val="bullet"/>
      <w:lvlText w:val="•"/>
      <w:lvlJc w:val="left"/>
      <w:pPr>
        <w:tabs>
          <w:tab w:val="num" w:pos="5040"/>
        </w:tabs>
        <w:ind w:left="5040" w:hanging="360"/>
      </w:pPr>
      <w:rPr>
        <w:rFonts w:ascii="Arial" w:hAnsi="Arial" w:hint="default"/>
      </w:rPr>
    </w:lvl>
    <w:lvl w:ilvl="7" w:tplc="08090019" w:tentative="1">
      <w:start w:val="1"/>
      <w:numFmt w:val="bullet"/>
      <w:lvlText w:val="•"/>
      <w:lvlJc w:val="left"/>
      <w:pPr>
        <w:tabs>
          <w:tab w:val="num" w:pos="5760"/>
        </w:tabs>
        <w:ind w:left="5760" w:hanging="360"/>
      </w:pPr>
      <w:rPr>
        <w:rFonts w:ascii="Arial" w:hAnsi="Arial" w:hint="default"/>
      </w:rPr>
    </w:lvl>
    <w:lvl w:ilvl="8" w:tplc="0809001B"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23"/>
  </w:num>
  <w:num w:numId="3">
    <w:abstractNumId w:val="18"/>
  </w:num>
  <w:num w:numId="4">
    <w:abstractNumId w:val="13"/>
  </w:num>
  <w:num w:numId="5">
    <w:abstractNumId w:val="21"/>
  </w:num>
  <w:num w:numId="6">
    <w:abstractNumId w:val="0"/>
  </w:num>
  <w:num w:numId="7">
    <w:abstractNumId w:val="2"/>
  </w:num>
  <w:num w:numId="8">
    <w:abstractNumId w:val="15"/>
  </w:num>
  <w:num w:numId="9">
    <w:abstractNumId w:val="20"/>
  </w:num>
  <w:num w:numId="10">
    <w:abstractNumId w:val="8"/>
  </w:num>
  <w:num w:numId="11">
    <w:abstractNumId w:val="19"/>
  </w:num>
  <w:num w:numId="12">
    <w:abstractNumId w:val="12"/>
  </w:num>
  <w:num w:numId="13">
    <w:abstractNumId w:val="17"/>
  </w:num>
  <w:num w:numId="14">
    <w:abstractNumId w:val="6"/>
  </w:num>
  <w:num w:numId="15">
    <w:abstractNumId w:val="1"/>
  </w:num>
  <w:num w:numId="16">
    <w:abstractNumId w:val="3"/>
  </w:num>
  <w:num w:numId="17">
    <w:abstractNumId w:val="5"/>
  </w:num>
  <w:num w:numId="18">
    <w:abstractNumId w:val="11"/>
  </w:num>
  <w:num w:numId="19">
    <w:abstractNumId w:val="9"/>
  </w:num>
  <w:num w:numId="20">
    <w:abstractNumId w:val="14"/>
  </w:num>
  <w:num w:numId="21">
    <w:abstractNumId w:val="7"/>
  </w:num>
  <w:num w:numId="22">
    <w:abstractNumId w:val="4"/>
  </w:num>
  <w:num w:numId="23">
    <w:abstractNumId w:val="16"/>
  </w:num>
  <w:num w:numId="24">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EF7"/>
    <w:rsid w:val="00001699"/>
    <w:rsid w:val="000078D3"/>
    <w:rsid w:val="000128BB"/>
    <w:rsid w:val="00014816"/>
    <w:rsid w:val="00016694"/>
    <w:rsid w:val="00020F4C"/>
    <w:rsid w:val="000213A5"/>
    <w:rsid w:val="00022C3E"/>
    <w:rsid w:val="00023CC5"/>
    <w:rsid w:val="0003103D"/>
    <w:rsid w:val="00031D56"/>
    <w:rsid w:val="00034346"/>
    <w:rsid w:val="00035F8D"/>
    <w:rsid w:val="00037D39"/>
    <w:rsid w:val="0004254F"/>
    <w:rsid w:val="00044FEA"/>
    <w:rsid w:val="0005086B"/>
    <w:rsid w:val="00052554"/>
    <w:rsid w:val="0005415A"/>
    <w:rsid w:val="00055A43"/>
    <w:rsid w:val="0006043E"/>
    <w:rsid w:val="0006777E"/>
    <w:rsid w:val="00070268"/>
    <w:rsid w:val="000709E0"/>
    <w:rsid w:val="0008381A"/>
    <w:rsid w:val="00085051"/>
    <w:rsid w:val="000853F0"/>
    <w:rsid w:val="000859EA"/>
    <w:rsid w:val="00087359"/>
    <w:rsid w:val="000903A8"/>
    <w:rsid w:val="00090594"/>
    <w:rsid w:val="000910D4"/>
    <w:rsid w:val="00091686"/>
    <w:rsid w:val="000957A8"/>
    <w:rsid w:val="000959D3"/>
    <w:rsid w:val="00096883"/>
    <w:rsid w:val="000A3EB5"/>
    <w:rsid w:val="000A4183"/>
    <w:rsid w:val="000A461A"/>
    <w:rsid w:val="000A7422"/>
    <w:rsid w:val="000A7928"/>
    <w:rsid w:val="000B0291"/>
    <w:rsid w:val="000B1814"/>
    <w:rsid w:val="000C42FC"/>
    <w:rsid w:val="000C63AC"/>
    <w:rsid w:val="000D793D"/>
    <w:rsid w:val="000E0BBB"/>
    <w:rsid w:val="000E1E32"/>
    <w:rsid w:val="000E57CB"/>
    <w:rsid w:val="000E6038"/>
    <w:rsid w:val="000F01EA"/>
    <w:rsid w:val="000F5373"/>
    <w:rsid w:val="000F55BB"/>
    <w:rsid w:val="000F5A81"/>
    <w:rsid w:val="0010585D"/>
    <w:rsid w:val="001067F7"/>
    <w:rsid w:val="00110995"/>
    <w:rsid w:val="0011117F"/>
    <w:rsid w:val="001120E7"/>
    <w:rsid w:val="00114A58"/>
    <w:rsid w:val="00114AF9"/>
    <w:rsid w:val="00121F52"/>
    <w:rsid w:val="00122F41"/>
    <w:rsid w:val="00123C22"/>
    <w:rsid w:val="00124441"/>
    <w:rsid w:val="00134A77"/>
    <w:rsid w:val="00142F3F"/>
    <w:rsid w:val="0014316A"/>
    <w:rsid w:val="001436C6"/>
    <w:rsid w:val="00143BD8"/>
    <w:rsid w:val="001461DB"/>
    <w:rsid w:val="001468A2"/>
    <w:rsid w:val="001473CC"/>
    <w:rsid w:val="00154124"/>
    <w:rsid w:val="00154392"/>
    <w:rsid w:val="0015674B"/>
    <w:rsid w:val="001657D1"/>
    <w:rsid w:val="00165BF4"/>
    <w:rsid w:val="00170866"/>
    <w:rsid w:val="0017151C"/>
    <w:rsid w:val="00180323"/>
    <w:rsid w:val="001827A6"/>
    <w:rsid w:val="00182F25"/>
    <w:rsid w:val="00185278"/>
    <w:rsid w:val="001852E2"/>
    <w:rsid w:val="001866EB"/>
    <w:rsid w:val="00187BF2"/>
    <w:rsid w:val="00190FA7"/>
    <w:rsid w:val="00191608"/>
    <w:rsid w:val="00196124"/>
    <w:rsid w:val="001A174F"/>
    <w:rsid w:val="001A5B45"/>
    <w:rsid w:val="001B28A2"/>
    <w:rsid w:val="001B2D9D"/>
    <w:rsid w:val="001B3343"/>
    <w:rsid w:val="001B46DC"/>
    <w:rsid w:val="001B4758"/>
    <w:rsid w:val="001C1519"/>
    <w:rsid w:val="001C75BD"/>
    <w:rsid w:val="001D3069"/>
    <w:rsid w:val="001D6CFB"/>
    <w:rsid w:val="001D7027"/>
    <w:rsid w:val="001E2591"/>
    <w:rsid w:val="001E34AD"/>
    <w:rsid w:val="001E4B32"/>
    <w:rsid w:val="001E6654"/>
    <w:rsid w:val="001E6AB8"/>
    <w:rsid w:val="001F0B39"/>
    <w:rsid w:val="001F0E6F"/>
    <w:rsid w:val="001F3543"/>
    <w:rsid w:val="001F76F5"/>
    <w:rsid w:val="00201594"/>
    <w:rsid w:val="00203041"/>
    <w:rsid w:val="002069FE"/>
    <w:rsid w:val="00207398"/>
    <w:rsid w:val="0020775E"/>
    <w:rsid w:val="00207B69"/>
    <w:rsid w:val="002110E9"/>
    <w:rsid w:val="00213234"/>
    <w:rsid w:val="002144C2"/>
    <w:rsid w:val="0021541B"/>
    <w:rsid w:val="002168F8"/>
    <w:rsid w:val="00222F0F"/>
    <w:rsid w:val="0022596B"/>
    <w:rsid w:val="00226B78"/>
    <w:rsid w:val="002315F0"/>
    <w:rsid w:val="00233317"/>
    <w:rsid w:val="00233759"/>
    <w:rsid w:val="00235363"/>
    <w:rsid w:val="002369AE"/>
    <w:rsid w:val="0024006C"/>
    <w:rsid w:val="00241434"/>
    <w:rsid w:val="002414F0"/>
    <w:rsid w:val="002429A0"/>
    <w:rsid w:val="002430FD"/>
    <w:rsid w:val="002451CF"/>
    <w:rsid w:val="0024559C"/>
    <w:rsid w:val="00247435"/>
    <w:rsid w:val="00253243"/>
    <w:rsid w:val="00255EC6"/>
    <w:rsid w:val="00256196"/>
    <w:rsid w:val="00263B4D"/>
    <w:rsid w:val="00271AAF"/>
    <w:rsid w:val="00274079"/>
    <w:rsid w:val="00274651"/>
    <w:rsid w:val="0027607C"/>
    <w:rsid w:val="00282F75"/>
    <w:rsid w:val="0028362C"/>
    <w:rsid w:val="0028626E"/>
    <w:rsid w:val="00292692"/>
    <w:rsid w:val="00296CD3"/>
    <w:rsid w:val="002A484F"/>
    <w:rsid w:val="002A5BD8"/>
    <w:rsid w:val="002A68F1"/>
    <w:rsid w:val="002A6F6B"/>
    <w:rsid w:val="002A71EA"/>
    <w:rsid w:val="002B0560"/>
    <w:rsid w:val="002B081E"/>
    <w:rsid w:val="002B082E"/>
    <w:rsid w:val="002B1137"/>
    <w:rsid w:val="002B19CD"/>
    <w:rsid w:val="002B310B"/>
    <w:rsid w:val="002B3173"/>
    <w:rsid w:val="002B365D"/>
    <w:rsid w:val="002B3E37"/>
    <w:rsid w:val="002C2506"/>
    <w:rsid w:val="002D1537"/>
    <w:rsid w:val="002D5E9F"/>
    <w:rsid w:val="002D7B79"/>
    <w:rsid w:val="002E0E11"/>
    <w:rsid w:val="002E24A3"/>
    <w:rsid w:val="002F1616"/>
    <w:rsid w:val="002F2642"/>
    <w:rsid w:val="003033DD"/>
    <w:rsid w:val="0031173F"/>
    <w:rsid w:val="0031265F"/>
    <w:rsid w:val="003224A5"/>
    <w:rsid w:val="00322C0E"/>
    <w:rsid w:val="003243EE"/>
    <w:rsid w:val="003259F0"/>
    <w:rsid w:val="00325C92"/>
    <w:rsid w:val="00326567"/>
    <w:rsid w:val="00326B95"/>
    <w:rsid w:val="0032778F"/>
    <w:rsid w:val="00327933"/>
    <w:rsid w:val="00327AAB"/>
    <w:rsid w:val="00327C71"/>
    <w:rsid w:val="00330081"/>
    <w:rsid w:val="00331657"/>
    <w:rsid w:val="00332B1D"/>
    <w:rsid w:val="00334E53"/>
    <w:rsid w:val="00335250"/>
    <w:rsid w:val="003419E0"/>
    <w:rsid w:val="0034243E"/>
    <w:rsid w:val="00342E1A"/>
    <w:rsid w:val="00345B7C"/>
    <w:rsid w:val="00346871"/>
    <w:rsid w:val="0034751E"/>
    <w:rsid w:val="00355811"/>
    <w:rsid w:val="0035799F"/>
    <w:rsid w:val="00361A48"/>
    <w:rsid w:val="00364919"/>
    <w:rsid w:val="00371115"/>
    <w:rsid w:val="003726FE"/>
    <w:rsid w:val="00375633"/>
    <w:rsid w:val="00376553"/>
    <w:rsid w:val="00376CD9"/>
    <w:rsid w:val="00377CD0"/>
    <w:rsid w:val="0038070E"/>
    <w:rsid w:val="0038075B"/>
    <w:rsid w:val="00381A40"/>
    <w:rsid w:val="003821A5"/>
    <w:rsid w:val="003848C4"/>
    <w:rsid w:val="00385DBC"/>
    <w:rsid w:val="00386ECF"/>
    <w:rsid w:val="00387467"/>
    <w:rsid w:val="0039188D"/>
    <w:rsid w:val="00392116"/>
    <w:rsid w:val="00392178"/>
    <w:rsid w:val="003940D5"/>
    <w:rsid w:val="003969C0"/>
    <w:rsid w:val="00396D16"/>
    <w:rsid w:val="003A0053"/>
    <w:rsid w:val="003A3391"/>
    <w:rsid w:val="003A60D4"/>
    <w:rsid w:val="003B11DC"/>
    <w:rsid w:val="003C39CD"/>
    <w:rsid w:val="003C3B9D"/>
    <w:rsid w:val="003C56BF"/>
    <w:rsid w:val="003C6174"/>
    <w:rsid w:val="003D04AD"/>
    <w:rsid w:val="003D0661"/>
    <w:rsid w:val="003D122D"/>
    <w:rsid w:val="003D1E0C"/>
    <w:rsid w:val="003D20EF"/>
    <w:rsid w:val="003D2239"/>
    <w:rsid w:val="003D4A6C"/>
    <w:rsid w:val="003D76D7"/>
    <w:rsid w:val="003E1ACC"/>
    <w:rsid w:val="003E2DB7"/>
    <w:rsid w:val="003E44BC"/>
    <w:rsid w:val="003E59E4"/>
    <w:rsid w:val="003E7361"/>
    <w:rsid w:val="003F2B2B"/>
    <w:rsid w:val="003F5775"/>
    <w:rsid w:val="003F6CB7"/>
    <w:rsid w:val="003F738E"/>
    <w:rsid w:val="003F77B4"/>
    <w:rsid w:val="00401169"/>
    <w:rsid w:val="0040395E"/>
    <w:rsid w:val="00407302"/>
    <w:rsid w:val="0040733B"/>
    <w:rsid w:val="004138C4"/>
    <w:rsid w:val="004147E2"/>
    <w:rsid w:val="00414888"/>
    <w:rsid w:val="004148F0"/>
    <w:rsid w:val="0042013D"/>
    <w:rsid w:val="004210A2"/>
    <w:rsid w:val="00423069"/>
    <w:rsid w:val="00427391"/>
    <w:rsid w:val="00427FD7"/>
    <w:rsid w:val="00430F41"/>
    <w:rsid w:val="004329D3"/>
    <w:rsid w:val="00435E79"/>
    <w:rsid w:val="0043675E"/>
    <w:rsid w:val="0043688D"/>
    <w:rsid w:val="004404FB"/>
    <w:rsid w:val="00440641"/>
    <w:rsid w:val="00440F7E"/>
    <w:rsid w:val="004425B9"/>
    <w:rsid w:val="00442B63"/>
    <w:rsid w:val="00444902"/>
    <w:rsid w:val="004502C0"/>
    <w:rsid w:val="00450498"/>
    <w:rsid w:val="00451028"/>
    <w:rsid w:val="00451446"/>
    <w:rsid w:val="00452016"/>
    <w:rsid w:val="00455502"/>
    <w:rsid w:val="004561F9"/>
    <w:rsid w:val="00460E92"/>
    <w:rsid w:val="00460ECA"/>
    <w:rsid w:val="004644D1"/>
    <w:rsid w:val="00464D42"/>
    <w:rsid w:val="00465A1D"/>
    <w:rsid w:val="00471E3E"/>
    <w:rsid w:val="00472BC4"/>
    <w:rsid w:val="004768A2"/>
    <w:rsid w:val="00476F4A"/>
    <w:rsid w:val="0048253E"/>
    <w:rsid w:val="004839EF"/>
    <w:rsid w:val="00487C9D"/>
    <w:rsid w:val="0049210E"/>
    <w:rsid w:val="0049526D"/>
    <w:rsid w:val="0049539E"/>
    <w:rsid w:val="00496CF0"/>
    <w:rsid w:val="004A4CAF"/>
    <w:rsid w:val="004A6C04"/>
    <w:rsid w:val="004A7072"/>
    <w:rsid w:val="004B613F"/>
    <w:rsid w:val="004B7F1D"/>
    <w:rsid w:val="004C1657"/>
    <w:rsid w:val="004C2BD7"/>
    <w:rsid w:val="004C4322"/>
    <w:rsid w:val="004C60B1"/>
    <w:rsid w:val="004D60AE"/>
    <w:rsid w:val="004D624C"/>
    <w:rsid w:val="004D7B9F"/>
    <w:rsid w:val="004E02DA"/>
    <w:rsid w:val="004E19EA"/>
    <w:rsid w:val="004E2D66"/>
    <w:rsid w:val="004E6393"/>
    <w:rsid w:val="004E70C1"/>
    <w:rsid w:val="004F2AF7"/>
    <w:rsid w:val="004F4288"/>
    <w:rsid w:val="004F56F5"/>
    <w:rsid w:val="004F6D61"/>
    <w:rsid w:val="00500CC9"/>
    <w:rsid w:val="005069B5"/>
    <w:rsid w:val="00511A86"/>
    <w:rsid w:val="005123C2"/>
    <w:rsid w:val="005145F5"/>
    <w:rsid w:val="00517555"/>
    <w:rsid w:val="005210C3"/>
    <w:rsid w:val="00521B5A"/>
    <w:rsid w:val="00533CCC"/>
    <w:rsid w:val="0053504A"/>
    <w:rsid w:val="005408D6"/>
    <w:rsid w:val="005447A3"/>
    <w:rsid w:val="00545862"/>
    <w:rsid w:val="00547B16"/>
    <w:rsid w:val="00556D1E"/>
    <w:rsid w:val="0055703D"/>
    <w:rsid w:val="0055755C"/>
    <w:rsid w:val="00567547"/>
    <w:rsid w:val="00572F7D"/>
    <w:rsid w:val="00574B44"/>
    <w:rsid w:val="0057680A"/>
    <w:rsid w:val="00577045"/>
    <w:rsid w:val="005774ED"/>
    <w:rsid w:val="005820F0"/>
    <w:rsid w:val="00583C2E"/>
    <w:rsid w:val="0058447F"/>
    <w:rsid w:val="005866C4"/>
    <w:rsid w:val="005879C0"/>
    <w:rsid w:val="00587EA7"/>
    <w:rsid w:val="005946AB"/>
    <w:rsid w:val="00595BCF"/>
    <w:rsid w:val="00595C93"/>
    <w:rsid w:val="005A3D6F"/>
    <w:rsid w:val="005A5E6E"/>
    <w:rsid w:val="005A6931"/>
    <w:rsid w:val="005A6EC1"/>
    <w:rsid w:val="005B050C"/>
    <w:rsid w:val="005B2E9E"/>
    <w:rsid w:val="005B3D48"/>
    <w:rsid w:val="005B6007"/>
    <w:rsid w:val="005B72EF"/>
    <w:rsid w:val="005C026B"/>
    <w:rsid w:val="005C0668"/>
    <w:rsid w:val="005C26C2"/>
    <w:rsid w:val="005C31A6"/>
    <w:rsid w:val="005C4D52"/>
    <w:rsid w:val="005C5897"/>
    <w:rsid w:val="005D33CD"/>
    <w:rsid w:val="005D4763"/>
    <w:rsid w:val="005D75E2"/>
    <w:rsid w:val="005D7672"/>
    <w:rsid w:val="005E71A5"/>
    <w:rsid w:val="005F3986"/>
    <w:rsid w:val="005F5ECB"/>
    <w:rsid w:val="005F77F6"/>
    <w:rsid w:val="00601BCC"/>
    <w:rsid w:val="00601CCE"/>
    <w:rsid w:val="006071A2"/>
    <w:rsid w:val="0061534A"/>
    <w:rsid w:val="00616D50"/>
    <w:rsid w:val="00617980"/>
    <w:rsid w:val="00617DCC"/>
    <w:rsid w:val="00621D6D"/>
    <w:rsid w:val="00624AE6"/>
    <w:rsid w:val="00625EBE"/>
    <w:rsid w:val="00640867"/>
    <w:rsid w:val="00640FFF"/>
    <w:rsid w:val="00645A6F"/>
    <w:rsid w:val="0065493F"/>
    <w:rsid w:val="00657D2A"/>
    <w:rsid w:val="006621B3"/>
    <w:rsid w:val="0066511A"/>
    <w:rsid w:val="0066552D"/>
    <w:rsid w:val="00675A57"/>
    <w:rsid w:val="00675C5A"/>
    <w:rsid w:val="00676938"/>
    <w:rsid w:val="0067789C"/>
    <w:rsid w:val="0068643F"/>
    <w:rsid w:val="00687670"/>
    <w:rsid w:val="00693CDA"/>
    <w:rsid w:val="0069435D"/>
    <w:rsid w:val="006975B0"/>
    <w:rsid w:val="00697FF3"/>
    <w:rsid w:val="006A5EBD"/>
    <w:rsid w:val="006A653E"/>
    <w:rsid w:val="006A6B92"/>
    <w:rsid w:val="006A76A7"/>
    <w:rsid w:val="006B17F2"/>
    <w:rsid w:val="006B1863"/>
    <w:rsid w:val="006B1C07"/>
    <w:rsid w:val="006B24A0"/>
    <w:rsid w:val="006B290D"/>
    <w:rsid w:val="006B2C20"/>
    <w:rsid w:val="006B50C6"/>
    <w:rsid w:val="006B6042"/>
    <w:rsid w:val="006C1F32"/>
    <w:rsid w:val="006C2BE9"/>
    <w:rsid w:val="006C3183"/>
    <w:rsid w:val="006C4C5C"/>
    <w:rsid w:val="006C5904"/>
    <w:rsid w:val="006D3927"/>
    <w:rsid w:val="006D49FB"/>
    <w:rsid w:val="006E4EB4"/>
    <w:rsid w:val="006E552B"/>
    <w:rsid w:val="006E5CED"/>
    <w:rsid w:val="006F0527"/>
    <w:rsid w:val="006F08D5"/>
    <w:rsid w:val="006F4E15"/>
    <w:rsid w:val="006F52E6"/>
    <w:rsid w:val="007004DC"/>
    <w:rsid w:val="007028E8"/>
    <w:rsid w:val="00705496"/>
    <w:rsid w:val="00712FA3"/>
    <w:rsid w:val="00721362"/>
    <w:rsid w:val="00724848"/>
    <w:rsid w:val="00726190"/>
    <w:rsid w:val="0073052B"/>
    <w:rsid w:val="00730C7D"/>
    <w:rsid w:val="00732C59"/>
    <w:rsid w:val="007335C7"/>
    <w:rsid w:val="0073449F"/>
    <w:rsid w:val="0073600E"/>
    <w:rsid w:val="007410E0"/>
    <w:rsid w:val="00744B79"/>
    <w:rsid w:val="007530F4"/>
    <w:rsid w:val="00754EAD"/>
    <w:rsid w:val="007645F7"/>
    <w:rsid w:val="00764DBE"/>
    <w:rsid w:val="00767311"/>
    <w:rsid w:val="0077129C"/>
    <w:rsid w:val="00771AAC"/>
    <w:rsid w:val="0077353F"/>
    <w:rsid w:val="007745B0"/>
    <w:rsid w:val="007777A9"/>
    <w:rsid w:val="0077783C"/>
    <w:rsid w:val="00787A67"/>
    <w:rsid w:val="0079145C"/>
    <w:rsid w:val="0079328E"/>
    <w:rsid w:val="00793C1D"/>
    <w:rsid w:val="007963A2"/>
    <w:rsid w:val="007A02FB"/>
    <w:rsid w:val="007A2BCA"/>
    <w:rsid w:val="007A4F8A"/>
    <w:rsid w:val="007B12D6"/>
    <w:rsid w:val="007B138E"/>
    <w:rsid w:val="007B2B32"/>
    <w:rsid w:val="007B4ED5"/>
    <w:rsid w:val="007B5290"/>
    <w:rsid w:val="007C01B7"/>
    <w:rsid w:val="007C14A3"/>
    <w:rsid w:val="007C4BCE"/>
    <w:rsid w:val="007D33E8"/>
    <w:rsid w:val="007D498F"/>
    <w:rsid w:val="007D53E1"/>
    <w:rsid w:val="007D63BB"/>
    <w:rsid w:val="007E0201"/>
    <w:rsid w:val="007E24C7"/>
    <w:rsid w:val="007E2F55"/>
    <w:rsid w:val="007E549A"/>
    <w:rsid w:val="007E5B9E"/>
    <w:rsid w:val="007F04CB"/>
    <w:rsid w:val="007F16BC"/>
    <w:rsid w:val="007F294C"/>
    <w:rsid w:val="007F437E"/>
    <w:rsid w:val="007F5198"/>
    <w:rsid w:val="007F6A9D"/>
    <w:rsid w:val="007F7A89"/>
    <w:rsid w:val="0080158B"/>
    <w:rsid w:val="00806157"/>
    <w:rsid w:val="008074C6"/>
    <w:rsid w:val="0081448E"/>
    <w:rsid w:val="00814D4A"/>
    <w:rsid w:val="00816B62"/>
    <w:rsid w:val="00821F83"/>
    <w:rsid w:val="008267DB"/>
    <w:rsid w:val="00826D04"/>
    <w:rsid w:val="00830DE7"/>
    <w:rsid w:val="00830E4B"/>
    <w:rsid w:val="0083245E"/>
    <w:rsid w:val="00833AD5"/>
    <w:rsid w:val="00833CA7"/>
    <w:rsid w:val="00834263"/>
    <w:rsid w:val="00834CF0"/>
    <w:rsid w:val="0083786E"/>
    <w:rsid w:val="00837F12"/>
    <w:rsid w:val="008415B1"/>
    <w:rsid w:val="0084319D"/>
    <w:rsid w:val="00847F1C"/>
    <w:rsid w:val="008528CC"/>
    <w:rsid w:val="00853765"/>
    <w:rsid w:val="008547D8"/>
    <w:rsid w:val="00856DB2"/>
    <w:rsid w:val="008614DA"/>
    <w:rsid w:val="00862190"/>
    <w:rsid w:val="008629C6"/>
    <w:rsid w:val="008667AF"/>
    <w:rsid w:val="00870458"/>
    <w:rsid w:val="00871B27"/>
    <w:rsid w:val="00873108"/>
    <w:rsid w:val="008745FA"/>
    <w:rsid w:val="00874775"/>
    <w:rsid w:val="008752D1"/>
    <w:rsid w:val="00877495"/>
    <w:rsid w:val="00886C41"/>
    <w:rsid w:val="008912AE"/>
    <w:rsid w:val="008912C2"/>
    <w:rsid w:val="0089226E"/>
    <w:rsid w:val="00897F09"/>
    <w:rsid w:val="008A0284"/>
    <w:rsid w:val="008A137E"/>
    <w:rsid w:val="008A5376"/>
    <w:rsid w:val="008A73E7"/>
    <w:rsid w:val="008A7F61"/>
    <w:rsid w:val="008B1C2E"/>
    <w:rsid w:val="008B24C6"/>
    <w:rsid w:val="008B34CC"/>
    <w:rsid w:val="008C06FC"/>
    <w:rsid w:val="008C1941"/>
    <w:rsid w:val="008C389A"/>
    <w:rsid w:val="008C7A7D"/>
    <w:rsid w:val="008D1031"/>
    <w:rsid w:val="008D11F0"/>
    <w:rsid w:val="008D7472"/>
    <w:rsid w:val="008E0377"/>
    <w:rsid w:val="008E607F"/>
    <w:rsid w:val="008E76D0"/>
    <w:rsid w:val="008F2D7A"/>
    <w:rsid w:val="008F31D7"/>
    <w:rsid w:val="008F45B9"/>
    <w:rsid w:val="008F4AF1"/>
    <w:rsid w:val="008F4F34"/>
    <w:rsid w:val="008F53CD"/>
    <w:rsid w:val="008F58DA"/>
    <w:rsid w:val="00900D79"/>
    <w:rsid w:val="0090790C"/>
    <w:rsid w:val="00907AED"/>
    <w:rsid w:val="00907E63"/>
    <w:rsid w:val="00915298"/>
    <w:rsid w:val="00916300"/>
    <w:rsid w:val="00920072"/>
    <w:rsid w:val="00920169"/>
    <w:rsid w:val="00923AB3"/>
    <w:rsid w:val="00925CE5"/>
    <w:rsid w:val="00932AED"/>
    <w:rsid w:val="009344B1"/>
    <w:rsid w:val="00934B4B"/>
    <w:rsid w:val="00934CC3"/>
    <w:rsid w:val="00936F19"/>
    <w:rsid w:val="00937B53"/>
    <w:rsid w:val="00947F06"/>
    <w:rsid w:val="00950BC3"/>
    <w:rsid w:val="00950F92"/>
    <w:rsid w:val="009517C9"/>
    <w:rsid w:val="00964089"/>
    <w:rsid w:val="009668BB"/>
    <w:rsid w:val="009703C0"/>
    <w:rsid w:val="009751BE"/>
    <w:rsid w:val="0098017D"/>
    <w:rsid w:val="00982DE0"/>
    <w:rsid w:val="0098617E"/>
    <w:rsid w:val="0099226A"/>
    <w:rsid w:val="009926DF"/>
    <w:rsid w:val="009955F9"/>
    <w:rsid w:val="009A33A0"/>
    <w:rsid w:val="009A5371"/>
    <w:rsid w:val="009A7D94"/>
    <w:rsid w:val="009C4C39"/>
    <w:rsid w:val="009D6274"/>
    <w:rsid w:val="009D71CD"/>
    <w:rsid w:val="009E0AFB"/>
    <w:rsid w:val="009E0E67"/>
    <w:rsid w:val="009E27D7"/>
    <w:rsid w:val="009E2F4F"/>
    <w:rsid w:val="009E45B9"/>
    <w:rsid w:val="009E6EB0"/>
    <w:rsid w:val="009F131D"/>
    <w:rsid w:val="009F2561"/>
    <w:rsid w:val="009F463A"/>
    <w:rsid w:val="009F4B4F"/>
    <w:rsid w:val="00A00EB9"/>
    <w:rsid w:val="00A06F20"/>
    <w:rsid w:val="00A15817"/>
    <w:rsid w:val="00A15AEF"/>
    <w:rsid w:val="00A24BAA"/>
    <w:rsid w:val="00A26E7C"/>
    <w:rsid w:val="00A336AE"/>
    <w:rsid w:val="00A35AAA"/>
    <w:rsid w:val="00A36808"/>
    <w:rsid w:val="00A36C71"/>
    <w:rsid w:val="00A3730F"/>
    <w:rsid w:val="00A4693E"/>
    <w:rsid w:val="00A47643"/>
    <w:rsid w:val="00A47BD7"/>
    <w:rsid w:val="00A47DA0"/>
    <w:rsid w:val="00A5174D"/>
    <w:rsid w:val="00A52200"/>
    <w:rsid w:val="00A558DA"/>
    <w:rsid w:val="00A659F7"/>
    <w:rsid w:val="00A6600A"/>
    <w:rsid w:val="00A67B10"/>
    <w:rsid w:val="00A712E1"/>
    <w:rsid w:val="00A83A2E"/>
    <w:rsid w:val="00A84C8A"/>
    <w:rsid w:val="00A8636B"/>
    <w:rsid w:val="00A91387"/>
    <w:rsid w:val="00A96CF3"/>
    <w:rsid w:val="00A976A7"/>
    <w:rsid w:val="00AA02B0"/>
    <w:rsid w:val="00AA261E"/>
    <w:rsid w:val="00AA304B"/>
    <w:rsid w:val="00AA3675"/>
    <w:rsid w:val="00AA5547"/>
    <w:rsid w:val="00AA635D"/>
    <w:rsid w:val="00AB1DBC"/>
    <w:rsid w:val="00AC0107"/>
    <w:rsid w:val="00AC4B4C"/>
    <w:rsid w:val="00AD21C2"/>
    <w:rsid w:val="00AD6C53"/>
    <w:rsid w:val="00AD6FFF"/>
    <w:rsid w:val="00AD7661"/>
    <w:rsid w:val="00AD787F"/>
    <w:rsid w:val="00AE0D87"/>
    <w:rsid w:val="00AE363B"/>
    <w:rsid w:val="00AE560C"/>
    <w:rsid w:val="00AF0620"/>
    <w:rsid w:val="00AF0856"/>
    <w:rsid w:val="00AF2A3F"/>
    <w:rsid w:val="00AF7529"/>
    <w:rsid w:val="00B00B13"/>
    <w:rsid w:val="00B013FE"/>
    <w:rsid w:val="00B024E4"/>
    <w:rsid w:val="00B04637"/>
    <w:rsid w:val="00B068D5"/>
    <w:rsid w:val="00B10020"/>
    <w:rsid w:val="00B101C0"/>
    <w:rsid w:val="00B103FD"/>
    <w:rsid w:val="00B11C48"/>
    <w:rsid w:val="00B12E41"/>
    <w:rsid w:val="00B16B82"/>
    <w:rsid w:val="00B16E08"/>
    <w:rsid w:val="00B170CF"/>
    <w:rsid w:val="00B17371"/>
    <w:rsid w:val="00B246A7"/>
    <w:rsid w:val="00B263B0"/>
    <w:rsid w:val="00B26BA6"/>
    <w:rsid w:val="00B34A46"/>
    <w:rsid w:val="00B3525B"/>
    <w:rsid w:val="00B35FE0"/>
    <w:rsid w:val="00B36CAB"/>
    <w:rsid w:val="00B37562"/>
    <w:rsid w:val="00B4222B"/>
    <w:rsid w:val="00B43481"/>
    <w:rsid w:val="00B554EF"/>
    <w:rsid w:val="00B63AB3"/>
    <w:rsid w:val="00B66253"/>
    <w:rsid w:val="00B71CA1"/>
    <w:rsid w:val="00B733A2"/>
    <w:rsid w:val="00B750CC"/>
    <w:rsid w:val="00B76A0D"/>
    <w:rsid w:val="00B779BA"/>
    <w:rsid w:val="00B80967"/>
    <w:rsid w:val="00B8132E"/>
    <w:rsid w:val="00B82540"/>
    <w:rsid w:val="00B846F1"/>
    <w:rsid w:val="00B85A2B"/>
    <w:rsid w:val="00B93306"/>
    <w:rsid w:val="00B93A8E"/>
    <w:rsid w:val="00B95487"/>
    <w:rsid w:val="00B95F95"/>
    <w:rsid w:val="00B96571"/>
    <w:rsid w:val="00B97066"/>
    <w:rsid w:val="00BA71B4"/>
    <w:rsid w:val="00BB0376"/>
    <w:rsid w:val="00BB31FD"/>
    <w:rsid w:val="00BB3E10"/>
    <w:rsid w:val="00BB5105"/>
    <w:rsid w:val="00BB6E1F"/>
    <w:rsid w:val="00BC31EB"/>
    <w:rsid w:val="00BC4C21"/>
    <w:rsid w:val="00BC4D91"/>
    <w:rsid w:val="00BC5566"/>
    <w:rsid w:val="00BC590C"/>
    <w:rsid w:val="00BD60BE"/>
    <w:rsid w:val="00BD7B9A"/>
    <w:rsid w:val="00BD7EAD"/>
    <w:rsid w:val="00BE3C26"/>
    <w:rsid w:val="00BE62A6"/>
    <w:rsid w:val="00BF1BA3"/>
    <w:rsid w:val="00BF28D4"/>
    <w:rsid w:val="00BF29A9"/>
    <w:rsid w:val="00BF372D"/>
    <w:rsid w:val="00BF3D14"/>
    <w:rsid w:val="00BF4247"/>
    <w:rsid w:val="00BF6E8E"/>
    <w:rsid w:val="00C03435"/>
    <w:rsid w:val="00C03E53"/>
    <w:rsid w:val="00C078F7"/>
    <w:rsid w:val="00C10F3B"/>
    <w:rsid w:val="00C13042"/>
    <w:rsid w:val="00C13B44"/>
    <w:rsid w:val="00C16FDE"/>
    <w:rsid w:val="00C20B7E"/>
    <w:rsid w:val="00C21059"/>
    <w:rsid w:val="00C30A29"/>
    <w:rsid w:val="00C31734"/>
    <w:rsid w:val="00C317E3"/>
    <w:rsid w:val="00C3519B"/>
    <w:rsid w:val="00C3524B"/>
    <w:rsid w:val="00C400A8"/>
    <w:rsid w:val="00C4076D"/>
    <w:rsid w:val="00C44023"/>
    <w:rsid w:val="00C44FA7"/>
    <w:rsid w:val="00C4634E"/>
    <w:rsid w:val="00C52AF0"/>
    <w:rsid w:val="00C5452C"/>
    <w:rsid w:val="00C55599"/>
    <w:rsid w:val="00C55D80"/>
    <w:rsid w:val="00C57F29"/>
    <w:rsid w:val="00C622CC"/>
    <w:rsid w:val="00C62F86"/>
    <w:rsid w:val="00C673DB"/>
    <w:rsid w:val="00C679EE"/>
    <w:rsid w:val="00C71250"/>
    <w:rsid w:val="00C71D7B"/>
    <w:rsid w:val="00C730A9"/>
    <w:rsid w:val="00C73289"/>
    <w:rsid w:val="00C74029"/>
    <w:rsid w:val="00C741D5"/>
    <w:rsid w:val="00C7489F"/>
    <w:rsid w:val="00C7582B"/>
    <w:rsid w:val="00C75E2D"/>
    <w:rsid w:val="00C76C9D"/>
    <w:rsid w:val="00C80C95"/>
    <w:rsid w:val="00C83BF7"/>
    <w:rsid w:val="00C84082"/>
    <w:rsid w:val="00C84171"/>
    <w:rsid w:val="00C94B8D"/>
    <w:rsid w:val="00C97D42"/>
    <w:rsid w:val="00CA1CA5"/>
    <w:rsid w:val="00CA3FB2"/>
    <w:rsid w:val="00CA537F"/>
    <w:rsid w:val="00CA6B40"/>
    <w:rsid w:val="00CB0587"/>
    <w:rsid w:val="00CB1B42"/>
    <w:rsid w:val="00CB2BA0"/>
    <w:rsid w:val="00CB33E7"/>
    <w:rsid w:val="00CB40BC"/>
    <w:rsid w:val="00CB4380"/>
    <w:rsid w:val="00CB480B"/>
    <w:rsid w:val="00CB6024"/>
    <w:rsid w:val="00CB7410"/>
    <w:rsid w:val="00CB7580"/>
    <w:rsid w:val="00CC6322"/>
    <w:rsid w:val="00CD14D6"/>
    <w:rsid w:val="00CD63C5"/>
    <w:rsid w:val="00CE2619"/>
    <w:rsid w:val="00CE66B0"/>
    <w:rsid w:val="00CF003A"/>
    <w:rsid w:val="00CF031A"/>
    <w:rsid w:val="00CF1E2C"/>
    <w:rsid w:val="00CF380A"/>
    <w:rsid w:val="00CF5E4B"/>
    <w:rsid w:val="00D02AB4"/>
    <w:rsid w:val="00D03EB9"/>
    <w:rsid w:val="00D07689"/>
    <w:rsid w:val="00D1095B"/>
    <w:rsid w:val="00D1099E"/>
    <w:rsid w:val="00D11F12"/>
    <w:rsid w:val="00D15EBE"/>
    <w:rsid w:val="00D165E1"/>
    <w:rsid w:val="00D2150A"/>
    <w:rsid w:val="00D234F8"/>
    <w:rsid w:val="00D2563E"/>
    <w:rsid w:val="00D27FA6"/>
    <w:rsid w:val="00D30312"/>
    <w:rsid w:val="00D32238"/>
    <w:rsid w:val="00D3355D"/>
    <w:rsid w:val="00D34550"/>
    <w:rsid w:val="00D361BF"/>
    <w:rsid w:val="00D40848"/>
    <w:rsid w:val="00D40AA0"/>
    <w:rsid w:val="00D41B54"/>
    <w:rsid w:val="00D46291"/>
    <w:rsid w:val="00D53DC5"/>
    <w:rsid w:val="00D5405E"/>
    <w:rsid w:val="00D60B1C"/>
    <w:rsid w:val="00D67284"/>
    <w:rsid w:val="00D70399"/>
    <w:rsid w:val="00D70CAE"/>
    <w:rsid w:val="00D71C46"/>
    <w:rsid w:val="00D720EC"/>
    <w:rsid w:val="00D7289F"/>
    <w:rsid w:val="00D772BB"/>
    <w:rsid w:val="00D80F2F"/>
    <w:rsid w:val="00D83091"/>
    <w:rsid w:val="00D94803"/>
    <w:rsid w:val="00D97BFB"/>
    <w:rsid w:val="00DA3E3B"/>
    <w:rsid w:val="00DA3EF7"/>
    <w:rsid w:val="00DB0078"/>
    <w:rsid w:val="00DB22BC"/>
    <w:rsid w:val="00DB246F"/>
    <w:rsid w:val="00DB4FAF"/>
    <w:rsid w:val="00DB7FDD"/>
    <w:rsid w:val="00DC0D1F"/>
    <w:rsid w:val="00DC17D3"/>
    <w:rsid w:val="00DC6DC6"/>
    <w:rsid w:val="00DC76FB"/>
    <w:rsid w:val="00DD0451"/>
    <w:rsid w:val="00DD58F2"/>
    <w:rsid w:val="00DD6577"/>
    <w:rsid w:val="00DD7439"/>
    <w:rsid w:val="00DE1528"/>
    <w:rsid w:val="00DE1F20"/>
    <w:rsid w:val="00DE2B50"/>
    <w:rsid w:val="00DE35F4"/>
    <w:rsid w:val="00DE61F2"/>
    <w:rsid w:val="00DE7D75"/>
    <w:rsid w:val="00DF4D07"/>
    <w:rsid w:val="00E007AB"/>
    <w:rsid w:val="00E026BC"/>
    <w:rsid w:val="00E0273B"/>
    <w:rsid w:val="00E04CE9"/>
    <w:rsid w:val="00E05B04"/>
    <w:rsid w:val="00E062FD"/>
    <w:rsid w:val="00E111B0"/>
    <w:rsid w:val="00E11206"/>
    <w:rsid w:val="00E14718"/>
    <w:rsid w:val="00E15BB9"/>
    <w:rsid w:val="00E235B6"/>
    <w:rsid w:val="00E25B02"/>
    <w:rsid w:val="00E30F17"/>
    <w:rsid w:val="00E369D2"/>
    <w:rsid w:val="00E40E8B"/>
    <w:rsid w:val="00E42489"/>
    <w:rsid w:val="00E440D7"/>
    <w:rsid w:val="00E45D15"/>
    <w:rsid w:val="00E4611F"/>
    <w:rsid w:val="00E46A7B"/>
    <w:rsid w:val="00E5075D"/>
    <w:rsid w:val="00E5444D"/>
    <w:rsid w:val="00E56ADB"/>
    <w:rsid w:val="00E57C07"/>
    <w:rsid w:val="00E62C79"/>
    <w:rsid w:val="00E641F2"/>
    <w:rsid w:val="00E64DC4"/>
    <w:rsid w:val="00E66D34"/>
    <w:rsid w:val="00E716E4"/>
    <w:rsid w:val="00E725F1"/>
    <w:rsid w:val="00E731E8"/>
    <w:rsid w:val="00E76232"/>
    <w:rsid w:val="00E7746B"/>
    <w:rsid w:val="00E81970"/>
    <w:rsid w:val="00E830AE"/>
    <w:rsid w:val="00E85C55"/>
    <w:rsid w:val="00E874A2"/>
    <w:rsid w:val="00E908A5"/>
    <w:rsid w:val="00E90E1F"/>
    <w:rsid w:val="00E9174D"/>
    <w:rsid w:val="00E93308"/>
    <w:rsid w:val="00E9366A"/>
    <w:rsid w:val="00EA103F"/>
    <w:rsid w:val="00EA1F36"/>
    <w:rsid w:val="00EA45A5"/>
    <w:rsid w:val="00EA6395"/>
    <w:rsid w:val="00EA7965"/>
    <w:rsid w:val="00EB1B58"/>
    <w:rsid w:val="00EB28A9"/>
    <w:rsid w:val="00EB30A0"/>
    <w:rsid w:val="00EB4F97"/>
    <w:rsid w:val="00ED0167"/>
    <w:rsid w:val="00ED2DAE"/>
    <w:rsid w:val="00ED4029"/>
    <w:rsid w:val="00ED4A6B"/>
    <w:rsid w:val="00ED67C6"/>
    <w:rsid w:val="00EE4060"/>
    <w:rsid w:val="00EE5B0E"/>
    <w:rsid w:val="00EE617C"/>
    <w:rsid w:val="00EF4EF7"/>
    <w:rsid w:val="00EF5495"/>
    <w:rsid w:val="00EF7669"/>
    <w:rsid w:val="00EF7C87"/>
    <w:rsid w:val="00F00414"/>
    <w:rsid w:val="00F015F4"/>
    <w:rsid w:val="00F069F9"/>
    <w:rsid w:val="00F06CB5"/>
    <w:rsid w:val="00F10814"/>
    <w:rsid w:val="00F11232"/>
    <w:rsid w:val="00F141E9"/>
    <w:rsid w:val="00F17308"/>
    <w:rsid w:val="00F17E73"/>
    <w:rsid w:val="00F2100F"/>
    <w:rsid w:val="00F268C2"/>
    <w:rsid w:val="00F26A4B"/>
    <w:rsid w:val="00F26E4E"/>
    <w:rsid w:val="00F27879"/>
    <w:rsid w:val="00F30494"/>
    <w:rsid w:val="00F32199"/>
    <w:rsid w:val="00F338C4"/>
    <w:rsid w:val="00F424D6"/>
    <w:rsid w:val="00F43F9A"/>
    <w:rsid w:val="00F45FAB"/>
    <w:rsid w:val="00F5177E"/>
    <w:rsid w:val="00F560CD"/>
    <w:rsid w:val="00F5701A"/>
    <w:rsid w:val="00F61B68"/>
    <w:rsid w:val="00F6320D"/>
    <w:rsid w:val="00F654AA"/>
    <w:rsid w:val="00F665E3"/>
    <w:rsid w:val="00F70B68"/>
    <w:rsid w:val="00F82167"/>
    <w:rsid w:val="00F835B6"/>
    <w:rsid w:val="00F84698"/>
    <w:rsid w:val="00F8489F"/>
    <w:rsid w:val="00FA0A87"/>
    <w:rsid w:val="00FA10F3"/>
    <w:rsid w:val="00FA1A23"/>
    <w:rsid w:val="00FA307B"/>
    <w:rsid w:val="00FA7E70"/>
    <w:rsid w:val="00FB058C"/>
    <w:rsid w:val="00FB7CBD"/>
    <w:rsid w:val="00FC12C5"/>
    <w:rsid w:val="00FC21FD"/>
    <w:rsid w:val="00FC4305"/>
    <w:rsid w:val="00FC534D"/>
    <w:rsid w:val="00FD16AC"/>
    <w:rsid w:val="00FD3C64"/>
    <w:rsid w:val="00FD4F54"/>
    <w:rsid w:val="00FE12DD"/>
    <w:rsid w:val="00FE1482"/>
    <w:rsid w:val="00FE3AF4"/>
    <w:rsid w:val="00FE5C4B"/>
    <w:rsid w:val="00FF2A59"/>
    <w:rsid w:val="00FF2F6B"/>
    <w:rsid w:val="00FF7F8B"/>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C4"/>
  </w:style>
  <w:style w:type="paragraph" w:styleId="Heading1">
    <w:name w:val="heading 1"/>
    <w:aliases w:val="Chapter Hdg,Section Heading,Chapter Heading"/>
    <w:basedOn w:val="Normal"/>
    <w:next w:val="Normal"/>
    <w:link w:val="Heading1Char"/>
    <w:qFormat/>
    <w:rsid w:val="00B95F95"/>
    <w:pPr>
      <w:widowControl w:val="0"/>
      <w:numPr>
        <w:numId w:val="6"/>
      </w:numPr>
      <w:spacing w:after="280"/>
      <w:outlineLvl w:val="0"/>
    </w:pPr>
    <w:rPr>
      <w:rFonts w:ascii="Arial" w:eastAsia="Times New Roman" w:hAnsi="Arial" w:cs="Times New Roman"/>
      <w:b/>
      <w:kern w:val="28"/>
      <w:sz w:val="36"/>
      <w:szCs w:val="20"/>
      <w:lang w:val="en-GB"/>
    </w:rPr>
  </w:style>
  <w:style w:type="paragraph" w:styleId="Heading2">
    <w:name w:val="heading 2"/>
    <w:aliases w:val="Para Nos,Main Heading,Main Headi"/>
    <w:basedOn w:val="Normal"/>
    <w:link w:val="Heading2Char"/>
    <w:qFormat/>
    <w:rsid w:val="00B95F95"/>
    <w:pPr>
      <w:widowControl w:val="0"/>
      <w:numPr>
        <w:ilvl w:val="1"/>
        <w:numId w:val="6"/>
      </w:numPr>
      <w:spacing w:after="360" w:line="336" w:lineRule="auto"/>
      <w:jc w:val="both"/>
      <w:outlineLvl w:val="1"/>
    </w:pPr>
    <w:rPr>
      <w:rFonts w:ascii="Times New Roman" w:eastAsia="Times New Roman" w:hAnsi="Times New Roman" w:cs="Times New Roman"/>
      <w:sz w:val="22"/>
      <w:szCs w:val="20"/>
      <w:lang w:val="en-GB"/>
    </w:rPr>
  </w:style>
  <w:style w:type="paragraph" w:styleId="Heading3">
    <w:name w:val="heading 3"/>
    <w:basedOn w:val="Normal"/>
    <w:next w:val="Normal"/>
    <w:link w:val="Heading3Char"/>
    <w:uiPriority w:val="9"/>
    <w:semiHidden/>
    <w:unhideWhenUsed/>
    <w:qFormat/>
    <w:rsid w:val="00B95F95"/>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rPr>
  </w:style>
  <w:style w:type="paragraph" w:styleId="Heading4">
    <w:name w:val="heading 4"/>
    <w:basedOn w:val="Normal"/>
    <w:next w:val="Normal"/>
    <w:link w:val="Heading4Char"/>
    <w:qFormat/>
    <w:rsid w:val="00B95F95"/>
    <w:pPr>
      <w:keepNext/>
      <w:numPr>
        <w:ilvl w:val="3"/>
        <w:numId w:val="6"/>
      </w:numPr>
      <w:spacing w:before="240" w:after="60"/>
      <w:outlineLvl w:val="3"/>
    </w:pPr>
    <w:rPr>
      <w:rFonts w:ascii="Arial" w:eastAsia="Times New Roman" w:hAnsi="Arial" w:cs="Times New Roman"/>
      <w:b/>
      <w:i/>
      <w:szCs w:val="20"/>
      <w:lang w:val="en-GB"/>
    </w:rPr>
  </w:style>
  <w:style w:type="paragraph" w:styleId="Heading5">
    <w:name w:val="heading 5"/>
    <w:aliases w:val="Paragraph Text"/>
    <w:basedOn w:val="Normal"/>
    <w:next w:val="Normal"/>
    <w:link w:val="Heading5Char"/>
    <w:qFormat/>
    <w:rsid w:val="00B95F95"/>
    <w:pPr>
      <w:numPr>
        <w:ilvl w:val="4"/>
        <w:numId w:val="6"/>
      </w:numPr>
      <w:spacing w:before="240" w:after="60"/>
      <w:outlineLvl w:val="4"/>
    </w:pPr>
    <w:rPr>
      <w:rFonts w:ascii="Arial" w:eastAsia="Times New Roman" w:hAnsi="Arial" w:cs="Times New Roman"/>
      <w:sz w:val="22"/>
      <w:szCs w:val="20"/>
      <w:lang w:val="en-GB"/>
    </w:rPr>
  </w:style>
  <w:style w:type="paragraph" w:styleId="Heading6">
    <w:name w:val="heading 6"/>
    <w:basedOn w:val="Normal"/>
    <w:next w:val="Normal"/>
    <w:link w:val="Heading6Char"/>
    <w:qFormat/>
    <w:rsid w:val="00B95F95"/>
    <w:pPr>
      <w:numPr>
        <w:ilvl w:val="5"/>
        <w:numId w:val="6"/>
      </w:numPr>
      <w:spacing w:before="240" w:after="60"/>
      <w:outlineLvl w:val="5"/>
    </w:pPr>
    <w:rPr>
      <w:rFonts w:ascii="Arial" w:eastAsia="Times New Roman" w:hAnsi="Arial" w:cs="Times New Roman"/>
      <w:i/>
      <w:sz w:val="22"/>
      <w:szCs w:val="20"/>
      <w:lang w:val="en-GB"/>
    </w:rPr>
  </w:style>
  <w:style w:type="paragraph" w:styleId="Heading7">
    <w:name w:val="heading 7"/>
    <w:basedOn w:val="Normal"/>
    <w:next w:val="Normal"/>
    <w:link w:val="Heading7Char"/>
    <w:qFormat/>
    <w:rsid w:val="00B95F95"/>
    <w:pPr>
      <w:numPr>
        <w:ilvl w:val="6"/>
        <w:numId w:val="6"/>
      </w:numPr>
      <w:spacing w:before="240" w:after="60"/>
      <w:outlineLvl w:val="6"/>
    </w:pPr>
    <w:rPr>
      <w:rFonts w:ascii="Arial" w:eastAsia="Times New Roman" w:hAnsi="Arial" w:cs="Times New Roman"/>
      <w:sz w:val="22"/>
      <w:szCs w:val="20"/>
      <w:lang w:val="en-GB"/>
    </w:rPr>
  </w:style>
  <w:style w:type="paragraph" w:styleId="Heading8">
    <w:name w:val="heading 8"/>
    <w:basedOn w:val="Normal"/>
    <w:next w:val="Normal"/>
    <w:link w:val="Heading8Char"/>
    <w:qFormat/>
    <w:rsid w:val="00B95F95"/>
    <w:pPr>
      <w:numPr>
        <w:ilvl w:val="7"/>
        <w:numId w:val="6"/>
      </w:numPr>
      <w:spacing w:before="240" w:after="60"/>
      <w:outlineLvl w:val="7"/>
    </w:pPr>
    <w:rPr>
      <w:rFonts w:ascii="Arial" w:eastAsia="Times New Roman" w:hAnsi="Arial" w:cs="Times New Roman"/>
      <w:i/>
      <w:sz w:val="22"/>
      <w:szCs w:val="20"/>
      <w:lang w:val="en-GB"/>
    </w:rPr>
  </w:style>
  <w:style w:type="paragraph" w:styleId="Heading9">
    <w:name w:val="heading 9"/>
    <w:basedOn w:val="Normal"/>
    <w:next w:val="Normal"/>
    <w:link w:val="Heading9Char"/>
    <w:qFormat/>
    <w:rsid w:val="00B95F95"/>
    <w:pPr>
      <w:numPr>
        <w:ilvl w:val="8"/>
        <w:numId w:val="6"/>
      </w:numPr>
      <w:spacing w:before="240" w:after="60"/>
      <w:outlineLvl w:val="8"/>
    </w:pPr>
    <w:rPr>
      <w:rFonts w:ascii="Arial" w:eastAsia="Times New Roman" w:hAnsi="Arial" w:cs="Times New Roman"/>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4AD"/>
    <w:rPr>
      <w:rFonts w:ascii="Lucida Grande" w:hAnsi="Lucida Grande"/>
      <w:sz w:val="18"/>
      <w:szCs w:val="18"/>
    </w:rPr>
  </w:style>
  <w:style w:type="character" w:customStyle="1" w:styleId="BalloonTextChar">
    <w:name w:val="Balloon Text Char"/>
    <w:basedOn w:val="DefaultParagraphFont"/>
    <w:link w:val="BalloonText"/>
    <w:uiPriority w:val="99"/>
    <w:semiHidden/>
    <w:rsid w:val="001244AD"/>
    <w:rPr>
      <w:rFonts w:ascii="Lucida Grande" w:hAnsi="Lucida Grande"/>
      <w:sz w:val="18"/>
      <w:szCs w:val="18"/>
    </w:rPr>
  </w:style>
  <w:style w:type="paragraph" w:styleId="Footer">
    <w:name w:val="footer"/>
    <w:basedOn w:val="Normal"/>
    <w:link w:val="FooterChar"/>
    <w:uiPriority w:val="99"/>
    <w:unhideWhenUsed/>
    <w:rsid w:val="00C03435"/>
    <w:pPr>
      <w:tabs>
        <w:tab w:val="center" w:pos="4320"/>
        <w:tab w:val="right" w:pos="8640"/>
      </w:tabs>
    </w:pPr>
  </w:style>
  <w:style w:type="character" w:customStyle="1" w:styleId="FooterChar">
    <w:name w:val="Footer Char"/>
    <w:basedOn w:val="DefaultParagraphFont"/>
    <w:link w:val="Footer"/>
    <w:uiPriority w:val="99"/>
    <w:rsid w:val="00C03435"/>
  </w:style>
  <w:style w:type="character" w:styleId="PageNumber">
    <w:name w:val="page number"/>
    <w:basedOn w:val="DefaultParagraphFont"/>
    <w:uiPriority w:val="99"/>
    <w:semiHidden/>
    <w:unhideWhenUsed/>
    <w:rsid w:val="00C03435"/>
  </w:style>
  <w:style w:type="table" w:styleId="TableGrid">
    <w:name w:val="Table Grid"/>
    <w:basedOn w:val="TableNormal"/>
    <w:uiPriority w:val="59"/>
    <w:rsid w:val="0003103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F55BB"/>
    <w:rPr>
      <w:color w:val="0000FF" w:themeColor="hyperlink"/>
      <w:u w:val="single"/>
    </w:rPr>
  </w:style>
  <w:style w:type="paragraph" w:styleId="ListParagraph">
    <w:name w:val="List Paragraph"/>
    <w:basedOn w:val="Normal"/>
    <w:uiPriority w:val="34"/>
    <w:qFormat/>
    <w:rsid w:val="008528CC"/>
    <w:pPr>
      <w:ind w:left="720"/>
      <w:contextualSpacing/>
    </w:pPr>
  </w:style>
  <w:style w:type="paragraph" w:styleId="FootnoteText">
    <w:name w:val="footnote text"/>
    <w:aliases w:val=" Char1 Char Char Char1, Char1 Char Char1, Char1 Char Char Char Char Char Char, Char1 Char Char Char Char Char Char1, Char1 Char Char Char Char Char1,Char1 Char Char Char,Char1 Char Char Char Char Char,Footnote Text Char1, Char10 Char Char"/>
    <w:basedOn w:val="Normal"/>
    <w:link w:val="FootnoteTextChar"/>
    <w:uiPriority w:val="99"/>
    <w:unhideWhenUsed/>
    <w:rsid w:val="006E552B"/>
    <w:rPr>
      <w:sz w:val="20"/>
      <w:szCs w:val="20"/>
    </w:rPr>
  </w:style>
  <w:style w:type="character" w:customStyle="1" w:styleId="FootnoteTextChar">
    <w:name w:val="Footnote Text Char"/>
    <w:aliases w:val=" Char1 Char Char Char1 Char, Char1 Char Char1 Char, Char1 Char Char Char Char Char Char Char, Char1 Char Char Char Char Char Char1 Char, Char1 Char Char Char Char Char1 Char,Char1 Char Char Char Char,Footnote Text Char1 Char"/>
    <w:basedOn w:val="DefaultParagraphFont"/>
    <w:link w:val="FootnoteText"/>
    <w:uiPriority w:val="99"/>
    <w:rsid w:val="006E552B"/>
    <w:rPr>
      <w:sz w:val="20"/>
      <w:szCs w:val="20"/>
    </w:rPr>
  </w:style>
  <w:style w:type="character" w:styleId="FootnoteReference">
    <w:name w:val="footnote reference"/>
    <w:aliases w:val="Footnote symbol"/>
    <w:basedOn w:val="DefaultParagraphFont"/>
    <w:uiPriority w:val="99"/>
    <w:unhideWhenUsed/>
    <w:rsid w:val="006E552B"/>
    <w:rPr>
      <w:vertAlign w:val="superscript"/>
    </w:rPr>
  </w:style>
  <w:style w:type="character" w:customStyle="1" w:styleId="Heading1Char">
    <w:name w:val="Heading 1 Char"/>
    <w:aliases w:val="Chapter Hdg Char,Section Heading Char,Chapter Heading Char"/>
    <w:basedOn w:val="DefaultParagraphFont"/>
    <w:link w:val="Heading1"/>
    <w:rsid w:val="00B95F95"/>
    <w:rPr>
      <w:rFonts w:ascii="Arial" w:eastAsia="Times New Roman" w:hAnsi="Arial" w:cs="Times New Roman"/>
      <w:b/>
      <w:kern w:val="28"/>
      <w:sz w:val="36"/>
      <w:szCs w:val="20"/>
      <w:lang w:val="en-GB"/>
    </w:rPr>
  </w:style>
  <w:style w:type="character" w:customStyle="1" w:styleId="Heading2Char">
    <w:name w:val="Heading 2 Char"/>
    <w:aliases w:val="Para Nos Char,Main Heading Char,Main Headi Char"/>
    <w:basedOn w:val="DefaultParagraphFont"/>
    <w:link w:val="Heading2"/>
    <w:rsid w:val="00B95F95"/>
    <w:rPr>
      <w:rFonts w:ascii="Times New Roman" w:eastAsia="Times New Roman" w:hAnsi="Times New Roman" w:cs="Times New Roman"/>
      <w:sz w:val="22"/>
      <w:szCs w:val="20"/>
      <w:lang w:val="en-GB"/>
    </w:rPr>
  </w:style>
  <w:style w:type="character" w:customStyle="1" w:styleId="Heading3Char">
    <w:name w:val="Heading 3 Char"/>
    <w:basedOn w:val="DefaultParagraphFont"/>
    <w:link w:val="Heading3"/>
    <w:uiPriority w:val="9"/>
    <w:semiHidden/>
    <w:rsid w:val="00B95F95"/>
    <w:rPr>
      <w:rFonts w:asciiTheme="majorHAnsi" w:eastAsiaTheme="majorEastAsia" w:hAnsiTheme="majorHAnsi" w:cstheme="majorBidi"/>
      <w:b/>
      <w:bCs/>
      <w:color w:val="4F81BD" w:themeColor="accent1"/>
      <w:sz w:val="22"/>
      <w:szCs w:val="22"/>
      <w:lang w:val="en-GB"/>
    </w:rPr>
  </w:style>
  <w:style w:type="character" w:customStyle="1" w:styleId="Heading4Char">
    <w:name w:val="Heading 4 Char"/>
    <w:basedOn w:val="DefaultParagraphFont"/>
    <w:link w:val="Heading4"/>
    <w:rsid w:val="00B95F95"/>
    <w:rPr>
      <w:rFonts w:ascii="Arial" w:eastAsia="Times New Roman" w:hAnsi="Arial" w:cs="Times New Roman"/>
      <w:b/>
      <w:i/>
      <w:szCs w:val="20"/>
      <w:lang w:val="en-GB"/>
    </w:rPr>
  </w:style>
  <w:style w:type="character" w:customStyle="1" w:styleId="Heading5Char">
    <w:name w:val="Heading 5 Char"/>
    <w:aliases w:val="Paragraph Text Char"/>
    <w:basedOn w:val="DefaultParagraphFont"/>
    <w:link w:val="Heading5"/>
    <w:rsid w:val="00B95F95"/>
    <w:rPr>
      <w:rFonts w:ascii="Arial" w:eastAsia="Times New Roman" w:hAnsi="Arial" w:cs="Times New Roman"/>
      <w:sz w:val="22"/>
      <w:szCs w:val="20"/>
      <w:lang w:val="en-GB"/>
    </w:rPr>
  </w:style>
  <w:style w:type="character" w:customStyle="1" w:styleId="Heading6Char">
    <w:name w:val="Heading 6 Char"/>
    <w:basedOn w:val="DefaultParagraphFont"/>
    <w:link w:val="Heading6"/>
    <w:rsid w:val="00B95F95"/>
    <w:rPr>
      <w:rFonts w:ascii="Arial" w:eastAsia="Times New Roman" w:hAnsi="Arial" w:cs="Times New Roman"/>
      <w:i/>
      <w:sz w:val="22"/>
      <w:szCs w:val="20"/>
      <w:lang w:val="en-GB"/>
    </w:rPr>
  </w:style>
  <w:style w:type="character" w:customStyle="1" w:styleId="Heading7Char">
    <w:name w:val="Heading 7 Char"/>
    <w:basedOn w:val="DefaultParagraphFont"/>
    <w:link w:val="Heading7"/>
    <w:rsid w:val="00B95F95"/>
    <w:rPr>
      <w:rFonts w:ascii="Arial" w:eastAsia="Times New Roman" w:hAnsi="Arial" w:cs="Times New Roman"/>
      <w:sz w:val="22"/>
      <w:szCs w:val="20"/>
      <w:lang w:val="en-GB"/>
    </w:rPr>
  </w:style>
  <w:style w:type="character" w:customStyle="1" w:styleId="Heading8Char">
    <w:name w:val="Heading 8 Char"/>
    <w:basedOn w:val="DefaultParagraphFont"/>
    <w:link w:val="Heading8"/>
    <w:rsid w:val="00B95F95"/>
    <w:rPr>
      <w:rFonts w:ascii="Arial" w:eastAsia="Times New Roman" w:hAnsi="Arial" w:cs="Times New Roman"/>
      <w:i/>
      <w:sz w:val="22"/>
      <w:szCs w:val="20"/>
      <w:lang w:val="en-GB"/>
    </w:rPr>
  </w:style>
  <w:style w:type="character" w:customStyle="1" w:styleId="Heading9Char">
    <w:name w:val="Heading 9 Char"/>
    <w:basedOn w:val="DefaultParagraphFont"/>
    <w:link w:val="Heading9"/>
    <w:rsid w:val="00B95F95"/>
    <w:rPr>
      <w:rFonts w:ascii="Arial" w:eastAsia="Times New Roman" w:hAnsi="Arial" w:cs="Times New Roman"/>
      <w:i/>
      <w:sz w:val="18"/>
      <w:szCs w:val="20"/>
      <w:lang w:val="en-GB"/>
    </w:rPr>
  </w:style>
  <w:style w:type="paragraph" w:styleId="BodyText">
    <w:name w:val="Body Text"/>
    <w:basedOn w:val="Normal"/>
    <w:link w:val="BodyTextChar"/>
    <w:rsid w:val="00B95F95"/>
    <w:pPr>
      <w:spacing w:after="120"/>
      <w:jc w:val="both"/>
    </w:pPr>
    <w:rPr>
      <w:rFonts w:ascii="Times New Roman" w:eastAsia="Times New Roman" w:hAnsi="Times New Roman" w:cs="Times New Roman"/>
    </w:rPr>
  </w:style>
  <w:style w:type="character" w:customStyle="1" w:styleId="BodyTextChar">
    <w:name w:val="Body Text Char"/>
    <w:basedOn w:val="DefaultParagraphFont"/>
    <w:link w:val="BodyText"/>
    <w:rsid w:val="00B95F95"/>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B95F95"/>
    <w:rPr>
      <w:sz w:val="20"/>
      <w:szCs w:val="20"/>
      <w:lang w:val="en-GB"/>
    </w:rPr>
  </w:style>
  <w:style w:type="character" w:customStyle="1" w:styleId="EndnoteTextChar">
    <w:name w:val="Endnote Text Char"/>
    <w:basedOn w:val="DefaultParagraphFont"/>
    <w:link w:val="EndnoteText"/>
    <w:uiPriority w:val="99"/>
    <w:semiHidden/>
    <w:rsid w:val="00B95F95"/>
    <w:rPr>
      <w:sz w:val="20"/>
      <w:szCs w:val="20"/>
      <w:lang w:val="en-GB"/>
    </w:rPr>
  </w:style>
  <w:style w:type="character" w:styleId="EndnoteReference">
    <w:name w:val="endnote reference"/>
    <w:basedOn w:val="DefaultParagraphFont"/>
    <w:uiPriority w:val="99"/>
    <w:semiHidden/>
    <w:unhideWhenUsed/>
    <w:rsid w:val="00B95F95"/>
    <w:rPr>
      <w:vertAlign w:val="superscript"/>
    </w:rPr>
  </w:style>
  <w:style w:type="paragraph" w:styleId="BodyText2">
    <w:name w:val="Body Text 2"/>
    <w:basedOn w:val="Normal"/>
    <w:link w:val="BodyText2Char"/>
    <w:uiPriority w:val="99"/>
    <w:semiHidden/>
    <w:unhideWhenUsed/>
    <w:rsid w:val="00B95F95"/>
    <w:pPr>
      <w:spacing w:after="120" w:line="480" w:lineRule="auto"/>
    </w:pPr>
    <w:rPr>
      <w:sz w:val="22"/>
      <w:szCs w:val="22"/>
      <w:lang w:val="en-GB"/>
    </w:rPr>
  </w:style>
  <w:style w:type="character" w:customStyle="1" w:styleId="BodyText2Char">
    <w:name w:val="Body Text 2 Char"/>
    <w:basedOn w:val="DefaultParagraphFont"/>
    <w:link w:val="BodyText2"/>
    <w:uiPriority w:val="99"/>
    <w:semiHidden/>
    <w:rsid w:val="00B95F95"/>
    <w:rPr>
      <w:sz w:val="22"/>
      <w:szCs w:val="22"/>
      <w:lang w:val="en-GB"/>
    </w:rPr>
  </w:style>
  <w:style w:type="paragraph" w:customStyle="1" w:styleId="Bullet1">
    <w:name w:val="Bullet1"/>
    <w:basedOn w:val="ListBullet"/>
    <w:link w:val="Bullet1Char"/>
    <w:qFormat/>
    <w:rsid w:val="00B95F95"/>
    <w:pPr>
      <w:tabs>
        <w:tab w:val="num" w:pos="720"/>
      </w:tabs>
      <w:spacing w:after="120" w:line="288" w:lineRule="auto"/>
      <w:ind w:hanging="720"/>
      <w:jc w:val="both"/>
    </w:pPr>
    <w:rPr>
      <w:rFonts w:ascii="Cambria" w:eastAsia="Times New Roman" w:hAnsi="Cambria" w:cs="Times New Roman"/>
      <w:szCs w:val="20"/>
    </w:rPr>
  </w:style>
  <w:style w:type="character" w:customStyle="1" w:styleId="Bullet1Char">
    <w:name w:val="Bullet1 Char"/>
    <w:link w:val="Bullet1"/>
    <w:rsid w:val="00B95F95"/>
    <w:rPr>
      <w:rFonts w:ascii="Cambria" w:eastAsia="Times New Roman" w:hAnsi="Cambria" w:cs="Times New Roman"/>
      <w:sz w:val="22"/>
      <w:szCs w:val="20"/>
      <w:lang w:val="en-GB"/>
    </w:rPr>
  </w:style>
  <w:style w:type="paragraph" w:styleId="ListBullet">
    <w:name w:val="List Bullet"/>
    <w:basedOn w:val="Normal"/>
    <w:uiPriority w:val="99"/>
    <w:semiHidden/>
    <w:unhideWhenUsed/>
    <w:rsid w:val="00B95F95"/>
    <w:pPr>
      <w:spacing w:after="200" w:line="276" w:lineRule="auto"/>
      <w:ind w:left="720" w:hanging="360"/>
      <w:contextualSpacing/>
    </w:pPr>
    <w:rPr>
      <w:sz w:val="22"/>
      <w:szCs w:val="22"/>
      <w:lang w:val="en-GB"/>
    </w:rPr>
  </w:style>
  <w:style w:type="paragraph" w:customStyle="1" w:styleId="1HEADING1">
    <w:name w:val="1.HEADING 1"/>
    <w:basedOn w:val="ListParagraph"/>
    <w:next w:val="Normal"/>
    <w:link w:val="1HEADING1Char"/>
    <w:qFormat/>
    <w:rsid w:val="00B95F95"/>
    <w:pPr>
      <w:tabs>
        <w:tab w:val="center" w:pos="4513"/>
        <w:tab w:val="right" w:pos="9026"/>
      </w:tabs>
      <w:ind w:left="360" w:hanging="360"/>
      <w:jc w:val="both"/>
    </w:pPr>
    <w:rPr>
      <w:rFonts w:ascii="Cambria" w:eastAsia="Times New Roman" w:hAnsi="Cambria" w:cs="Times New Roman"/>
      <w:b/>
      <w:color w:val="548DD4"/>
      <w:szCs w:val="28"/>
      <w:lang w:val="en-GB"/>
    </w:rPr>
  </w:style>
  <w:style w:type="character" w:customStyle="1" w:styleId="1HEADING1Char">
    <w:name w:val="1.HEADING 1 Char"/>
    <w:link w:val="1HEADING1"/>
    <w:rsid w:val="00B95F95"/>
    <w:rPr>
      <w:rFonts w:ascii="Cambria" w:eastAsia="Times New Roman" w:hAnsi="Cambria" w:cs="Times New Roman"/>
      <w:b/>
      <w:color w:val="548DD4"/>
      <w:szCs w:val="28"/>
      <w:lang w:val="en-GB"/>
    </w:rPr>
  </w:style>
  <w:style w:type="paragraph" w:customStyle="1" w:styleId="HEADING">
    <w:name w:val="HEADING"/>
    <w:basedOn w:val="Normal"/>
    <w:next w:val="Normal"/>
    <w:link w:val="HEADINGChar"/>
    <w:qFormat/>
    <w:rsid w:val="00B95F95"/>
    <w:pPr>
      <w:spacing w:after="120" w:line="288" w:lineRule="auto"/>
      <w:contextualSpacing/>
      <w:jc w:val="both"/>
    </w:pPr>
    <w:rPr>
      <w:rFonts w:ascii="Cambria" w:eastAsia="Times New Roman" w:hAnsi="Cambria" w:cs="Times New Roman"/>
      <w:b/>
      <w:color w:val="365F91"/>
      <w:sz w:val="26"/>
      <w:szCs w:val="26"/>
      <w:lang w:val="en-GB"/>
    </w:rPr>
  </w:style>
  <w:style w:type="character" w:customStyle="1" w:styleId="HEADINGChar">
    <w:name w:val="HEADING Char"/>
    <w:link w:val="HEADING"/>
    <w:rsid w:val="00B95F95"/>
    <w:rPr>
      <w:rFonts w:ascii="Cambria" w:eastAsia="Times New Roman" w:hAnsi="Cambria" w:cs="Times New Roman"/>
      <w:b/>
      <w:color w:val="365F91"/>
      <w:sz w:val="26"/>
      <w:szCs w:val="26"/>
      <w:lang w:val="en-GB"/>
    </w:rPr>
  </w:style>
  <w:style w:type="paragraph" w:customStyle="1" w:styleId="TopHeader">
    <w:name w:val="Top Header"/>
    <w:basedOn w:val="ListBullet"/>
    <w:link w:val="TopHeaderChar"/>
    <w:qFormat/>
    <w:rsid w:val="00B95F95"/>
    <w:pPr>
      <w:pBdr>
        <w:bottom w:val="single" w:sz="4" w:space="1" w:color="auto"/>
      </w:pBdr>
      <w:spacing w:after="240" w:line="240" w:lineRule="auto"/>
      <w:ind w:left="0" w:firstLine="0"/>
      <w:contextualSpacing w:val="0"/>
      <w:jc w:val="both"/>
    </w:pPr>
    <w:rPr>
      <w:rFonts w:ascii="Calibri" w:eastAsia="Times New Roman" w:hAnsi="Calibri" w:cs="Times New Roman"/>
      <w:sz w:val="20"/>
      <w:szCs w:val="20"/>
    </w:rPr>
  </w:style>
  <w:style w:type="character" w:customStyle="1" w:styleId="TopHeaderChar">
    <w:name w:val="Top Header Char"/>
    <w:link w:val="TopHeader"/>
    <w:rsid w:val="00B95F95"/>
    <w:rPr>
      <w:rFonts w:ascii="Calibri" w:eastAsia="Times New Roman" w:hAnsi="Calibri" w:cs="Times New Roman"/>
      <w:sz w:val="20"/>
      <w:szCs w:val="20"/>
      <w:lang w:val="en-GB"/>
    </w:rPr>
  </w:style>
  <w:style w:type="paragraph" w:styleId="Header">
    <w:name w:val="header"/>
    <w:basedOn w:val="Normal"/>
    <w:link w:val="HeaderChar"/>
    <w:semiHidden/>
    <w:unhideWhenUsed/>
    <w:rsid w:val="00B95F95"/>
    <w:pPr>
      <w:tabs>
        <w:tab w:val="center" w:pos="4513"/>
        <w:tab w:val="right" w:pos="9026"/>
      </w:tabs>
    </w:pPr>
    <w:rPr>
      <w:sz w:val="22"/>
      <w:szCs w:val="22"/>
      <w:lang w:val="en-GB"/>
    </w:rPr>
  </w:style>
  <w:style w:type="character" w:customStyle="1" w:styleId="HeaderChar">
    <w:name w:val="Header Char"/>
    <w:basedOn w:val="DefaultParagraphFont"/>
    <w:link w:val="Header"/>
    <w:semiHidden/>
    <w:rsid w:val="00B95F95"/>
    <w:rPr>
      <w:sz w:val="22"/>
      <w:szCs w:val="22"/>
      <w:lang w:val="en-GB"/>
    </w:rPr>
  </w:style>
  <w:style w:type="character" w:styleId="BookTitle">
    <w:name w:val="Book Title"/>
    <w:basedOn w:val="DefaultParagraphFont"/>
    <w:uiPriority w:val="33"/>
    <w:qFormat/>
    <w:rsid w:val="00B95F95"/>
    <w:rPr>
      <w:b/>
      <w:bCs/>
      <w:smallCaps/>
      <w:spacing w:val="5"/>
    </w:rPr>
  </w:style>
  <w:style w:type="paragraph" w:customStyle="1" w:styleId="Tabletext">
    <w:name w:val="Tabletext"/>
    <w:basedOn w:val="Normal"/>
    <w:link w:val="TabletextChar"/>
    <w:autoRedefine/>
    <w:qFormat/>
    <w:rsid w:val="00B95F95"/>
    <w:pPr>
      <w:spacing w:line="288" w:lineRule="auto"/>
      <w:jc w:val="both"/>
    </w:pPr>
    <w:rPr>
      <w:rFonts w:ascii="Lucida Sans Unicode" w:eastAsia="Calibri" w:hAnsi="Lucida Sans Unicode" w:cs="Times New Roman"/>
      <w:sz w:val="16"/>
      <w:szCs w:val="16"/>
      <w:lang w:val="en-GB"/>
    </w:rPr>
  </w:style>
  <w:style w:type="character" w:customStyle="1" w:styleId="TabletextChar">
    <w:name w:val="Tabletext Char"/>
    <w:link w:val="Tabletext"/>
    <w:rsid w:val="00B95F95"/>
    <w:rPr>
      <w:rFonts w:ascii="Lucida Sans Unicode" w:eastAsia="Calibri" w:hAnsi="Lucida Sans Unicode" w:cs="Times New Roman"/>
      <w:sz w:val="16"/>
      <w:szCs w:val="16"/>
      <w:lang w:val="en-GB"/>
    </w:rPr>
  </w:style>
  <w:style w:type="paragraph" w:customStyle="1" w:styleId="TabletextBold">
    <w:name w:val="Tabletext Bold"/>
    <w:basedOn w:val="Tabletext"/>
    <w:next w:val="Tabletext"/>
    <w:link w:val="TabletextBoldChar"/>
    <w:autoRedefine/>
    <w:qFormat/>
    <w:rsid w:val="00B95F95"/>
    <w:pPr>
      <w:spacing w:line="264" w:lineRule="auto"/>
    </w:pPr>
    <w:rPr>
      <w:rFonts w:eastAsia="Times New Roman"/>
      <w:b/>
    </w:rPr>
  </w:style>
  <w:style w:type="character" w:customStyle="1" w:styleId="TabletextBoldChar">
    <w:name w:val="Tabletext Bold Char"/>
    <w:link w:val="TabletextBold"/>
    <w:rsid w:val="00B95F95"/>
    <w:rPr>
      <w:rFonts w:ascii="Lucida Sans Unicode" w:eastAsia="Times New Roman" w:hAnsi="Lucida Sans Unicode" w:cs="Times New Roman"/>
      <w:b/>
      <w:sz w:val="16"/>
      <w:szCs w:val="16"/>
      <w:lang w:val="en-GB"/>
    </w:rPr>
  </w:style>
  <w:style w:type="paragraph" w:customStyle="1" w:styleId="TableTitle">
    <w:name w:val="Table Title"/>
    <w:basedOn w:val="Normal"/>
    <w:next w:val="Normal"/>
    <w:link w:val="TableTitleChar"/>
    <w:qFormat/>
    <w:rsid w:val="00B95F95"/>
    <w:pPr>
      <w:spacing w:after="120" w:line="264" w:lineRule="auto"/>
    </w:pPr>
    <w:rPr>
      <w:rFonts w:ascii="Lucida Sans Unicode" w:eastAsia="Times New Roman" w:hAnsi="Lucida Sans Unicode" w:cs="Times New Roman"/>
      <w:b/>
      <w:sz w:val="22"/>
      <w:szCs w:val="20"/>
      <w:lang w:val="en-GB"/>
    </w:rPr>
  </w:style>
  <w:style w:type="character" w:customStyle="1" w:styleId="TableTitleChar">
    <w:name w:val="Table Title Char"/>
    <w:link w:val="TableTitle"/>
    <w:rsid w:val="00B95F95"/>
    <w:rPr>
      <w:rFonts w:ascii="Lucida Sans Unicode" w:eastAsia="Times New Roman" w:hAnsi="Lucida Sans Unicode" w:cs="Times New Roman"/>
      <w:b/>
      <w:sz w:val="22"/>
      <w:szCs w:val="20"/>
      <w:lang w:val="en-GB"/>
    </w:rPr>
  </w:style>
  <w:style w:type="paragraph" w:customStyle="1" w:styleId="NormalBold">
    <w:name w:val="Normal Bold"/>
    <w:basedOn w:val="Normal"/>
    <w:next w:val="Normal"/>
    <w:link w:val="NormalBoldChar"/>
    <w:autoRedefine/>
    <w:qFormat/>
    <w:rsid w:val="00052554"/>
    <w:pPr>
      <w:keepNext/>
      <w:jc w:val="both"/>
    </w:pPr>
    <w:rPr>
      <w:rFonts w:eastAsia="Arial" w:cstheme="minorHAnsi"/>
      <w:bCs/>
      <w:sz w:val="22"/>
      <w:szCs w:val="22"/>
      <w:lang w:val="en-GB"/>
    </w:rPr>
  </w:style>
  <w:style w:type="character" w:customStyle="1" w:styleId="NormalBoldChar">
    <w:name w:val="Normal Bold Char"/>
    <w:link w:val="NormalBold"/>
    <w:rsid w:val="00052554"/>
    <w:rPr>
      <w:rFonts w:eastAsia="Arial" w:cstheme="minorHAnsi"/>
      <w:bCs/>
      <w:sz w:val="22"/>
      <w:szCs w:val="22"/>
      <w:lang w:val="en-GB"/>
    </w:rPr>
  </w:style>
  <w:style w:type="paragraph" w:styleId="NormalWeb">
    <w:name w:val="Normal (Web)"/>
    <w:basedOn w:val="Normal"/>
    <w:uiPriority w:val="99"/>
    <w:semiHidden/>
    <w:unhideWhenUsed/>
    <w:rsid w:val="00B95F95"/>
    <w:pPr>
      <w:spacing w:before="100" w:beforeAutospacing="1" w:after="100" w:afterAutospacing="1"/>
    </w:pPr>
    <w:rPr>
      <w:rFonts w:ascii="Times New Roman" w:eastAsia="Times New Roman" w:hAnsi="Times New Roman" w:cs="Times New Roman"/>
      <w:lang w:val="en-GB" w:eastAsia="en-GB"/>
    </w:rPr>
  </w:style>
  <w:style w:type="paragraph" w:customStyle="1" w:styleId="ColorfulList-Accent11">
    <w:name w:val="Colorful List - Accent 11"/>
    <w:basedOn w:val="Normal"/>
    <w:uiPriority w:val="34"/>
    <w:qFormat/>
    <w:rsid w:val="00B95F95"/>
    <w:pPr>
      <w:spacing w:after="200" w:line="276" w:lineRule="auto"/>
      <w:ind w:left="720"/>
      <w:contextualSpacing/>
    </w:pPr>
    <w:rPr>
      <w:rFonts w:ascii="Calibri" w:eastAsia="Calibri" w:hAnsi="Calibri" w:cs="Times New Roman"/>
      <w:sz w:val="22"/>
      <w:szCs w:val="22"/>
      <w:lang w:val="en-GB"/>
    </w:rPr>
  </w:style>
  <w:style w:type="paragraph" w:customStyle="1" w:styleId="table">
    <w:name w:val="table"/>
    <w:basedOn w:val="Normal"/>
    <w:rsid w:val="00B95F95"/>
    <w:pPr>
      <w:keepNext/>
      <w:keepLines/>
      <w:overflowPunct w:val="0"/>
      <w:autoSpaceDE w:val="0"/>
      <w:autoSpaceDN w:val="0"/>
      <w:adjustRightInd w:val="0"/>
      <w:spacing w:before="60" w:after="60"/>
      <w:textAlignment w:val="baseline"/>
    </w:pPr>
    <w:rPr>
      <w:rFonts w:ascii="Times New Roman" w:eastAsia="Times New Roman" w:hAnsi="Times New Roman" w:cs="Times New Roman"/>
      <w:sz w:val="20"/>
      <w:szCs w:val="20"/>
      <w:lang w:val="en-GB" w:eastAsia="en-GB"/>
    </w:rPr>
  </w:style>
  <w:style w:type="paragraph" w:customStyle="1" w:styleId="Level1Bullets">
    <w:name w:val="Level 1 Bullets"/>
    <w:basedOn w:val="Normal"/>
    <w:rsid w:val="00B95F95"/>
    <w:pPr>
      <w:widowControl w:val="0"/>
      <w:numPr>
        <w:numId w:val="7"/>
      </w:numPr>
      <w:spacing w:after="240" w:line="312" w:lineRule="auto"/>
      <w:jc w:val="both"/>
    </w:pPr>
    <w:rPr>
      <w:rFonts w:ascii="Times New Roman" w:eastAsia="Times New Roman" w:hAnsi="Times New Roman" w:cs="Times New Roman"/>
      <w:sz w:val="22"/>
      <w:szCs w:val="20"/>
      <w:lang w:val="en-GB"/>
    </w:rPr>
  </w:style>
  <w:style w:type="paragraph" w:customStyle="1" w:styleId="TEXTMAIN">
    <w:name w:val="TEXTMAIN"/>
    <w:basedOn w:val="Heading3"/>
    <w:rsid w:val="00B95F95"/>
    <w:pPr>
      <w:keepLines w:val="0"/>
      <w:numPr>
        <w:ilvl w:val="2"/>
        <w:numId w:val="6"/>
      </w:numPr>
      <w:tabs>
        <w:tab w:val="clear" w:pos="1980"/>
        <w:tab w:val="num" w:pos="0"/>
      </w:tabs>
      <w:spacing w:before="240" w:after="60" w:line="240" w:lineRule="auto"/>
      <w:ind w:left="0"/>
      <w:jc w:val="both"/>
    </w:pPr>
    <w:rPr>
      <w:rFonts w:ascii="Times New Roman" w:eastAsia="Times New Roman" w:hAnsi="Times New Roman" w:cs="Times New Roman"/>
      <w:b w:val="0"/>
      <w:bCs w:val="0"/>
      <w:color w:val="auto"/>
      <w:szCs w:val="20"/>
    </w:rPr>
  </w:style>
  <w:style w:type="paragraph" w:customStyle="1" w:styleId="headingother">
    <w:name w:val="heading other"/>
    <w:basedOn w:val="Normal"/>
    <w:next w:val="Normal"/>
    <w:rsid w:val="00B95F95"/>
    <w:pPr>
      <w:keepNext/>
      <w:keepLines/>
      <w:spacing w:before="120" w:after="120" w:line="240" w:lineRule="atLeast"/>
    </w:pPr>
    <w:rPr>
      <w:rFonts w:ascii="Times New Roman" w:eastAsia="Times New Roman" w:hAnsi="Times New Roman" w:cs="Times New Roman"/>
      <w:i/>
      <w:szCs w:val="20"/>
      <w:lang w:val="en-GB"/>
    </w:rPr>
  </w:style>
  <w:style w:type="paragraph" w:customStyle="1" w:styleId="Default">
    <w:name w:val="Default"/>
    <w:rsid w:val="00B95F95"/>
    <w:pPr>
      <w:autoSpaceDE w:val="0"/>
      <w:autoSpaceDN w:val="0"/>
      <w:adjustRightInd w:val="0"/>
    </w:pPr>
    <w:rPr>
      <w:rFonts w:ascii="Cambria" w:hAnsi="Cambria" w:cs="Cambria"/>
      <w:color w:val="000000"/>
      <w:lang w:val="en-GB"/>
    </w:rPr>
  </w:style>
  <w:style w:type="character" w:customStyle="1" w:styleId="searchword">
    <w:name w:val="searchword"/>
    <w:basedOn w:val="DefaultParagraphFont"/>
    <w:rsid w:val="00B95F95"/>
  </w:style>
  <w:style w:type="character" w:styleId="PlaceholderText">
    <w:name w:val="Placeholder Text"/>
    <w:basedOn w:val="DefaultParagraphFont"/>
    <w:uiPriority w:val="99"/>
    <w:semiHidden/>
    <w:rsid w:val="00B95F95"/>
    <w:rPr>
      <w:color w:val="808080"/>
    </w:rPr>
  </w:style>
  <w:style w:type="paragraph" w:customStyle="1" w:styleId="Level1subhead">
    <w:name w:val="Level 1 subhead"/>
    <w:basedOn w:val="Normal"/>
    <w:next w:val="Heading2"/>
    <w:rsid w:val="00B95F95"/>
    <w:pPr>
      <w:widowControl w:val="0"/>
      <w:spacing w:after="240"/>
      <w:ind w:left="720"/>
    </w:pPr>
    <w:rPr>
      <w:rFonts w:ascii="Arial" w:eastAsia="Times New Roman" w:hAnsi="Arial" w:cs="Times New Roman"/>
      <w:b/>
      <w:szCs w:val="20"/>
      <w:lang w:val="en-GB"/>
    </w:rPr>
  </w:style>
  <w:style w:type="paragraph" w:styleId="BodyText3">
    <w:name w:val="Body Text 3"/>
    <w:basedOn w:val="Normal"/>
    <w:link w:val="BodyText3Char"/>
    <w:uiPriority w:val="99"/>
    <w:semiHidden/>
    <w:unhideWhenUsed/>
    <w:rsid w:val="00B95F95"/>
    <w:pPr>
      <w:spacing w:after="120" w:line="276" w:lineRule="auto"/>
    </w:pPr>
    <w:rPr>
      <w:sz w:val="16"/>
      <w:szCs w:val="16"/>
      <w:lang w:val="en-GB"/>
    </w:rPr>
  </w:style>
  <w:style w:type="character" w:customStyle="1" w:styleId="BodyText3Char">
    <w:name w:val="Body Text 3 Char"/>
    <w:basedOn w:val="DefaultParagraphFont"/>
    <w:link w:val="BodyText3"/>
    <w:uiPriority w:val="99"/>
    <w:semiHidden/>
    <w:rsid w:val="00B95F95"/>
    <w:rPr>
      <w:sz w:val="16"/>
      <w:szCs w:val="16"/>
      <w:lang w:val="en-GB"/>
    </w:rPr>
  </w:style>
  <w:style w:type="character" w:customStyle="1" w:styleId="cit-source">
    <w:name w:val="cit-source"/>
    <w:basedOn w:val="DefaultParagraphFont"/>
    <w:rsid w:val="00B95F95"/>
  </w:style>
  <w:style w:type="character" w:customStyle="1" w:styleId="cit-pub-date">
    <w:name w:val="cit-pub-date"/>
    <w:basedOn w:val="DefaultParagraphFont"/>
    <w:rsid w:val="00B95F95"/>
  </w:style>
  <w:style w:type="character" w:customStyle="1" w:styleId="cit-comment">
    <w:name w:val="cit-comment"/>
    <w:basedOn w:val="DefaultParagraphFont"/>
    <w:rsid w:val="00B95F95"/>
  </w:style>
  <w:style w:type="character" w:styleId="HTMLCite">
    <w:name w:val="HTML Cite"/>
    <w:basedOn w:val="DefaultParagraphFont"/>
    <w:uiPriority w:val="99"/>
    <w:semiHidden/>
    <w:unhideWhenUsed/>
    <w:rsid w:val="00B95F95"/>
    <w:rPr>
      <w:i/>
      <w:iCs/>
    </w:rPr>
  </w:style>
  <w:style w:type="character" w:styleId="Strong">
    <w:name w:val="Strong"/>
    <w:basedOn w:val="DefaultParagraphFont"/>
    <w:uiPriority w:val="22"/>
    <w:qFormat/>
    <w:rsid w:val="00B95F95"/>
    <w:rPr>
      <w:b/>
      <w:bCs/>
    </w:rPr>
  </w:style>
  <w:style w:type="paragraph" w:customStyle="1" w:styleId="Char">
    <w:name w:val="Char"/>
    <w:basedOn w:val="Normal"/>
    <w:rsid w:val="00B95F95"/>
    <w:pPr>
      <w:spacing w:after="160" w:line="240" w:lineRule="exact"/>
    </w:pPr>
    <w:rPr>
      <w:rFonts w:ascii="Verdana" w:eastAsia="Times New Roman" w:hAnsi="Verdana" w:cs="Times New Roman"/>
      <w:sz w:val="20"/>
      <w:szCs w:val="20"/>
    </w:rPr>
  </w:style>
  <w:style w:type="paragraph" w:customStyle="1" w:styleId="NotesSources">
    <w:name w:val="Notes&amp;Sources"/>
    <w:basedOn w:val="Normal"/>
    <w:link w:val="NotesSourcesChar"/>
    <w:qFormat/>
    <w:rsid w:val="00B95F95"/>
    <w:pPr>
      <w:jc w:val="both"/>
    </w:pPr>
    <w:rPr>
      <w:rFonts w:ascii="Cambria" w:eastAsia="Times New Roman" w:hAnsi="Cambria" w:cs="Times New Roman"/>
      <w:i/>
      <w:sz w:val="20"/>
      <w:szCs w:val="20"/>
      <w:lang w:val="en-GB"/>
    </w:rPr>
  </w:style>
  <w:style w:type="character" w:customStyle="1" w:styleId="NotesSourcesChar">
    <w:name w:val="Notes&amp;Sources Char"/>
    <w:link w:val="NotesSources"/>
    <w:rsid w:val="00B95F95"/>
    <w:rPr>
      <w:rFonts w:ascii="Cambria" w:eastAsia="Times New Roman" w:hAnsi="Cambria" w:cs="Times New Roman"/>
      <w:i/>
      <w:sz w:val="20"/>
      <w:szCs w:val="20"/>
      <w:lang w:val="en-GB"/>
    </w:rPr>
  </w:style>
  <w:style w:type="paragraph" w:customStyle="1" w:styleId="IllustrationTitle">
    <w:name w:val="Illustration Title"/>
    <w:basedOn w:val="Normal"/>
    <w:link w:val="IllustrationTitleChar"/>
    <w:qFormat/>
    <w:rsid w:val="00B95F95"/>
    <w:pPr>
      <w:keepNext/>
      <w:spacing w:line="288" w:lineRule="auto"/>
      <w:jc w:val="both"/>
    </w:pPr>
    <w:rPr>
      <w:rFonts w:ascii="Cambria" w:eastAsia="Times New Roman" w:hAnsi="Cambria" w:cs="Times New Roman"/>
      <w:b/>
      <w:sz w:val="22"/>
      <w:szCs w:val="20"/>
      <w:lang w:val="en-GB"/>
    </w:rPr>
  </w:style>
  <w:style w:type="character" w:customStyle="1" w:styleId="IllustrationTitleChar">
    <w:name w:val="Illustration Title Char"/>
    <w:link w:val="IllustrationTitle"/>
    <w:rsid w:val="00B95F95"/>
    <w:rPr>
      <w:rFonts w:ascii="Cambria" w:eastAsia="Times New Roman" w:hAnsi="Cambria" w:cs="Times New Roman"/>
      <w:b/>
      <w:sz w:val="22"/>
      <w:szCs w:val="20"/>
      <w:lang w:val="en-GB"/>
    </w:rPr>
  </w:style>
  <w:style w:type="paragraph" w:customStyle="1" w:styleId="Level2subhead">
    <w:name w:val="Level 2 subhead"/>
    <w:basedOn w:val="Normal"/>
    <w:next w:val="Heading2"/>
    <w:rsid w:val="00B95F95"/>
    <w:pPr>
      <w:widowControl w:val="0"/>
      <w:spacing w:after="240"/>
      <w:ind w:left="720"/>
    </w:pPr>
    <w:rPr>
      <w:rFonts w:ascii="Arial" w:eastAsia="Times New Roman" w:hAnsi="Arial" w:cs="Times New Roman"/>
      <w:b/>
      <w:i/>
      <w:sz w:val="22"/>
      <w:szCs w:val="20"/>
      <w:lang w:val="en-GB"/>
    </w:rPr>
  </w:style>
  <w:style w:type="paragraph" w:customStyle="1" w:styleId="Level2Bullets">
    <w:name w:val="Level 2 Bullets"/>
    <w:basedOn w:val="Heading2"/>
    <w:rsid w:val="00B95F95"/>
    <w:pPr>
      <w:numPr>
        <w:ilvl w:val="0"/>
        <w:numId w:val="20"/>
      </w:numPr>
      <w:tabs>
        <w:tab w:val="clear" w:pos="360"/>
      </w:tabs>
      <w:spacing w:after="120" w:line="312" w:lineRule="auto"/>
      <w:ind w:left="1800"/>
      <w:outlineLvl w:val="9"/>
    </w:pPr>
    <w:rPr>
      <w:rFonts w:ascii="Arial" w:hAnsi="Arial"/>
    </w:rPr>
  </w:style>
  <w:style w:type="paragraph" w:customStyle="1" w:styleId="1ListNumbered">
    <w:name w:val="1. List Numbered"/>
    <w:basedOn w:val="List"/>
    <w:qFormat/>
    <w:rsid w:val="00B95F95"/>
    <w:pPr>
      <w:numPr>
        <w:numId w:val="21"/>
      </w:numPr>
      <w:spacing w:after="120" w:line="288" w:lineRule="auto"/>
      <w:ind w:left="1069"/>
    </w:pPr>
    <w:rPr>
      <w:rFonts w:ascii="Lucida Sans Unicode" w:eastAsia="Times New Roman" w:hAnsi="Lucida Sans Unicode" w:cs="Times New Roman"/>
      <w:sz w:val="20"/>
      <w:szCs w:val="20"/>
    </w:rPr>
  </w:style>
  <w:style w:type="paragraph" w:styleId="List">
    <w:name w:val="List"/>
    <w:basedOn w:val="Normal"/>
    <w:uiPriority w:val="99"/>
    <w:semiHidden/>
    <w:unhideWhenUsed/>
    <w:rsid w:val="00B95F95"/>
    <w:pPr>
      <w:spacing w:after="200" w:line="276" w:lineRule="auto"/>
      <w:ind w:left="283" w:hanging="283"/>
      <w:contextualSpacing/>
    </w:pPr>
    <w:rPr>
      <w:sz w:val="22"/>
      <w:szCs w:val="22"/>
      <w:lang w:val="en-GB"/>
    </w:rPr>
  </w:style>
  <w:style w:type="character" w:styleId="CommentReference">
    <w:name w:val="annotation reference"/>
    <w:basedOn w:val="DefaultParagraphFont"/>
    <w:uiPriority w:val="99"/>
    <w:semiHidden/>
    <w:unhideWhenUsed/>
    <w:rsid w:val="009E0E67"/>
    <w:rPr>
      <w:sz w:val="16"/>
      <w:szCs w:val="16"/>
    </w:rPr>
  </w:style>
  <w:style w:type="paragraph" w:styleId="CommentText">
    <w:name w:val="annotation text"/>
    <w:basedOn w:val="Normal"/>
    <w:link w:val="CommentTextChar"/>
    <w:semiHidden/>
    <w:unhideWhenUsed/>
    <w:rsid w:val="009E0E67"/>
    <w:rPr>
      <w:sz w:val="20"/>
      <w:szCs w:val="20"/>
    </w:rPr>
  </w:style>
  <w:style w:type="character" w:customStyle="1" w:styleId="CommentTextChar">
    <w:name w:val="Comment Text Char"/>
    <w:basedOn w:val="DefaultParagraphFont"/>
    <w:link w:val="CommentText"/>
    <w:uiPriority w:val="99"/>
    <w:semiHidden/>
    <w:rsid w:val="009E0E67"/>
    <w:rPr>
      <w:sz w:val="20"/>
      <w:szCs w:val="20"/>
    </w:rPr>
  </w:style>
  <w:style w:type="paragraph" w:styleId="CommentSubject">
    <w:name w:val="annotation subject"/>
    <w:basedOn w:val="CommentText"/>
    <w:next w:val="CommentText"/>
    <w:link w:val="CommentSubjectChar"/>
    <w:uiPriority w:val="99"/>
    <w:semiHidden/>
    <w:unhideWhenUsed/>
    <w:rsid w:val="009E0E67"/>
    <w:rPr>
      <w:b/>
      <w:bCs/>
    </w:rPr>
  </w:style>
  <w:style w:type="character" w:customStyle="1" w:styleId="CommentSubjectChar">
    <w:name w:val="Comment Subject Char"/>
    <w:basedOn w:val="CommentTextChar"/>
    <w:link w:val="CommentSubject"/>
    <w:uiPriority w:val="99"/>
    <w:semiHidden/>
    <w:rsid w:val="009E0E67"/>
    <w:rPr>
      <w:b/>
      <w:bCs/>
      <w:sz w:val="20"/>
      <w:szCs w:val="20"/>
    </w:rPr>
  </w:style>
  <w:style w:type="paragraph" w:styleId="ListBullet3">
    <w:name w:val="List Bullet 3"/>
    <w:basedOn w:val="Normal"/>
    <w:autoRedefine/>
    <w:rsid w:val="004C1657"/>
    <w:pPr>
      <w:numPr>
        <w:numId w:val="24"/>
      </w:numPr>
      <w:jc w:val="both"/>
    </w:pPr>
    <w:rPr>
      <w:rFonts w:ascii="Garamond" w:eastAsia="Times New Roman" w:hAnsi="Garamond" w:cs="Times New Roman"/>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C4"/>
  </w:style>
  <w:style w:type="paragraph" w:styleId="Heading1">
    <w:name w:val="heading 1"/>
    <w:aliases w:val="Chapter Hdg,Section Heading,Chapter Heading"/>
    <w:basedOn w:val="Normal"/>
    <w:next w:val="Normal"/>
    <w:link w:val="Heading1Char"/>
    <w:qFormat/>
    <w:rsid w:val="00B95F95"/>
    <w:pPr>
      <w:widowControl w:val="0"/>
      <w:numPr>
        <w:numId w:val="6"/>
      </w:numPr>
      <w:spacing w:after="280"/>
      <w:outlineLvl w:val="0"/>
    </w:pPr>
    <w:rPr>
      <w:rFonts w:ascii="Arial" w:eastAsia="Times New Roman" w:hAnsi="Arial" w:cs="Times New Roman"/>
      <w:b/>
      <w:kern w:val="28"/>
      <w:sz w:val="36"/>
      <w:szCs w:val="20"/>
      <w:lang w:val="en-GB"/>
    </w:rPr>
  </w:style>
  <w:style w:type="paragraph" w:styleId="Heading2">
    <w:name w:val="heading 2"/>
    <w:aliases w:val="Para Nos,Main Heading,Main Headi"/>
    <w:basedOn w:val="Normal"/>
    <w:link w:val="Heading2Char"/>
    <w:qFormat/>
    <w:rsid w:val="00B95F95"/>
    <w:pPr>
      <w:widowControl w:val="0"/>
      <w:numPr>
        <w:ilvl w:val="1"/>
        <w:numId w:val="6"/>
      </w:numPr>
      <w:spacing w:after="360" w:line="336" w:lineRule="auto"/>
      <w:jc w:val="both"/>
      <w:outlineLvl w:val="1"/>
    </w:pPr>
    <w:rPr>
      <w:rFonts w:ascii="Times New Roman" w:eastAsia="Times New Roman" w:hAnsi="Times New Roman" w:cs="Times New Roman"/>
      <w:sz w:val="22"/>
      <w:szCs w:val="20"/>
      <w:lang w:val="en-GB"/>
    </w:rPr>
  </w:style>
  <w:style w:type="paragraph" w:styleId="Heading3">
    <w:name w:val="heading 3"/>
    <w:basedOn w:val="Normal"/>
    <w:next w:val="Normal"/>
    <w:link w:val="Heading3Char"/>
    <w:uiPriority w:val="9"/>
    <w:semiHidden/>
    <w:unhideWhenUsed/>
    <w:qFormat/>
    <w:rsid w:val="00B95F95"/>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rPr>
  </w:style>
  <w:style w:type="paragraph" w:styleId="Heading4">
    <w:name w:val="heading 4"/>
    <w:basedOn w:val="Normal"/>
    <w:next w:val="Normal"/>
    <w:link w:val="Heading4Char"/>
    <w:qFormat/>
    <w:rsid w:val="00B95F95"/>
    <w:pPr>
      <w:keepNext/>
      <w:numPr>
        <w:ilvl w:val="3"/>
        <w:numId w:val="6"/>
      </w:numPr>
      <w:spacing w:before="240" w:after="60"/>
      <w:outlineLvl w:val="3"/>
    </w:pPr>
    <w:rPr>
      <w:rFonts w:ascii="Arial" w:eastAsia="Times New Roman" w:hAnsi="Arial" w:cs="Times New Roman"/>
      <w:b/>
      <w:i/>
      <w:szCs w:val="20"/>
      <w:lang w:val="en-GB"/>
    </w:rPr>
  </w:style>
  <w:style w:type="paragraph" w:styleId="Heading5">
    <w:name w:val="heading 5"/>
    <w:aliases w:val="Paragraph Text"/>
    <w:basedOn w:val="Normal"/>
    <w:next w:val="Normal"/>
    <w:link w:val="Heading5Char"/>
    <w:qFormat/>
    <w:rsid w:val="00B95F95"/>
    <w:pPr>
      <w:numPr>
        <w:ilvl w:val="4"/>
        <w:numId w:val="6"/>
      </w:numPr>
      <w:spacing w:before="240" w:after="60"/>
      <w:outlineLvl w:val="4"/>
    </w:pPr>
    <w:rPr>
      <w:rFonts w:ascii="Arial" w:eastAsia="Times New Roman" w:hAnsi="Arial" w:cs="Times New Roman"/>
      <w:sz w:val="22"/>
      <w:szCs w:val="20"/>
      <w:lang w:val="en-GB"/>
    </w:rPr>
  </w:style>
  <w:style w:type="paragraph" w:styleId="Heading6">
    <w:name w:val="heading 6"/>
    <w:basedOn w:val="Normal"/>
    <w:next w:val="Normal"/>
    <w:link w:val="Heading6Char"/>
    <w:qFormat/>
    <w:rsid w:val="00B95F95"/>
    <w:pPr>
      <w:numPr>
        <w:ilvl w:val="5"/>
        <w:numId w:val="6"/>
      </w:numPr>
      <w:spacing w:before="240" w:after="60"/>
      <w:outlineLvl w:val="5"/>
    </w:pPr>
    <w:rPr>
      <w:rFonts w:ascii="Arial" w:eastAsia="Times New Roman" w:hAnsi="Arial" w:cs="Times New Roman"/>
      <w:i/>
      <w:sz w:val="22"/>
      <w:szCs w:val="20"/>
      <w:lang w:val="en-GB"/>
    </w:rPr>
  </w:style>
  <w:style w:type="paragraph" w:styleId="Heading7">
    <w:name w:val="heading 7"/>
    <w:basedOn w:val="Normal"/>
    <w:next w:val="Normal"/>
    <w:link w:val="Heading7Char"/>
    <w:qFormat/>
    <w:rsid w:val="00B95F95"/>
    <w:pPr>
      <w:numPr>
        <w:ilvl w:val="6"/>
        <w:numId w:val="6"/>
      </w:numPr>
      <w:spacing w:before="240" w:after="60"/>
      <w:outlineLvl w:val="6"/>
    </w:pPr>
    <w:rPr>
      <w:rFonts w:ascii="Arial" w:eastAsia="Times New Roman" w:hAnsi="Arial" w:cs="Times New Roman"/>
      <w:sz w:val="22"/>
      <w:szCs w:val="20"/>
      <w:lang w:val="en-GB"/>
    </w:rPr>
  </w:style>
  <w:style w:type="paragraph" w:styleId="Heading8">
    <w:name w:val="heading 8"/>
    <w:basedOn w:val="Normal"/>
    <w:next w:val="Normal"/>
    <w:link w:val="Heading8Char"/>
    <w:qFormat/>
    <w:rsid w:val="00B95F95"/>
    <w:pPr>
      <w:numPr>
        <w:ilvl w:val="7"/>
        <w:numId w:val="6"/>
      </w:numPr>
      <w:spacing w:before="240" w:after="60"/>
      <w:outlineLvl w:val="7"/>
    </w:pPr>
    <w:rPr>
      <w:rFonts w:ascii="Arial" w:eastAsia="Times New Roman" w:hAnsi="Arial" w:cs="Times New Roman"/>
      <w:i/>
      <w:sz w:val="22"/>
      <w:szCs w:val="20"/>
      <w:lang w:val="en-GB"/>
    </w:rPr>
  </w:style>
  <w:style w:type="paragraph" w:styleId="Heading9">
    <w:name w:val="heading 9"/>
    <w:basedOn w:val="Normal"/>
    <w:next w:val="Normal"/>
    <w:link w:val="Heading9Char"/>
    <w:qFormat/>
    <w:rsid w:val="00B95F95"/>
    <w:pPr>
      <w:numPr>
        <w:ilvl w:val="8"/>
        <w:numId w:val="6"/>
      </w:numPr>
      <w:spacing w:before="240" w:after="60"/>
      <w:outlineLvl w:val="8"/>
    </w:pPr>
    <w:rPr>
      <w:rFonts w:ascii="Arial" w:eastAsia="Times New Roman" w:hAnsi="Arial" w:cs="Times New Roman"/>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4AD"/>
    <w:rPr>
      <w:rFonts w:ascii="Lucida Grande" w:hAnsi="Lucida Grande"/>
      <w:sz w:val="18"/>
      <w:szCs w:val="18"/>
    </w:rPr>
  </w:style>
  <w:style w:type="character" w:customStyle="1" w:styleId="BalloonTextChar">
    <w:name w:val="Balloon Text Char"/>
    <w:basedOn w:val="DefaultParagraphFont"/>
    <w:link w:val="BalloonText"/>
    <w:uiPriority w:val="99"/>
    <w:semiHidden/>
    <w:rsid w:val="001244AD"/>
    <w:rPr>
      <w:rFonts w:ascii="Lucida Grande" w:hAnsi="Lucida Grande"/>
      <w:sz w:val="18"/>
      <w:szCs w:val="18"/>
    </w:rPr>
  </w:style>
  <w:style w:type="paragraph" w:styleId="Footer">
    <w:name w:val="footer"/>
    <w:basedOn w:val="Normal"/>
    <w:link w:val="FooterChar"/>
    <w:uiPriority w:val="99"/>
    <w:unhideWhenUsed/>
    <w:rsid w:val="00C03435"/>
    <w:pPr>
      <w:tabs>
        <w:tab w:val="center" w:pos="4320"/>
        <w:tab w:val="right" w:pos="8640"/>
      </w:tabs>
    </w:pPr>
  </w:style>
  <w:style w:type="character" w:customStyle="1" w:styleId="FooterChar">
    <w:name w:val="Footer Char"/>
    <w:basedOn w:val="DefaultParagraphFont"/>
    <w:link w:val="Footer"/>
    <w:uiPriority w:val="99"/>
    <w:rsid w:val="00C03435"/>
  </w:style>
  <w:style w:type="character" w:styleId="PageNumber">
    <w:name w:val="page number"/>
    <w:basedOn w:val="DefaultParagraphFont"/>
    <w:uiPriority w:val="99"/>
    <w:semiHidden/>
    <w:unhideWhenUsed/>
    <w:rsid w:val="00C03435"/>
  </w:style>
  <w:style w:type="table" w:styleId="TableGrid">
    <w:name w:val="Table Grid"/>
    <w:basedOn w:val="TableNormal"/>
    <w:uiPriority w:val="59"/>
    <w:rsid w:val="0003103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F55BB"/>
    <w:rPr>
      <w:color w:val="0000FF" w:themeColor="hyperlink"/>
      <w:u w:val="single"/>
    </w:rPr>
  </w:style>
  <w:style w:type="paragraph" w:styleId="ListParagraph">
    <w:name w:val="List Paragraph"/>
    <w:basedOn w:val="Normal"/>
    <w:uiPriority w:val="34"/>
    <w:qFormat/>
    <w:rsid w:val="008528CC"/>
    <w:pPr>
      <w:ind w:left="720"/>
      <w:contextualSpacing/>
    </w:pPr>
  </w:style>
  <w:style w:type="paragraph" w:styleId="FootnoteText">
    <w:name w:val="footnote text"/>
    <w:aliases w:val=" Char1 Char Char Char1, Char1 Char Char1, Char1 Char Char Char Char Char Char, Char1 Char Char Char Char Char Char1, Char1 Char Char Char Char Char1,Char1 Char Char Char,Char1 Char Char Char Char Char,Footnote Text Char1, Char10 Char Char"/>
    <w:basedOn w:val="Normal"/>
    <w:link w:val="FootnoteTextChar"/>
    <w:uiPriority w:val="99"/>
    <w:unhideWhenUsed/>
    <w:rsid w:val="006E552B"/>
    <w:rPr>
      <w:sz w:val="20"/>
      <w:szCs w:val="20"/>
    </w:rPr>
  </w:style>
  <w:style w:type="character" w:customStyle="1" w:styleId="FootnoteTextChar">
    <w:name w:val="Footnote Text Char"/>
    <w:aliases w:val=" Char1 Char Char Char1 Char, Char1 Char Char1 Char, Char1 Char Char Char Char Char Char Char, Char1 Char Char Char Char Char Char1 Char, Char1 Char Char Char Char Char1 Char,Char1 Char Char Char Char,Footnote Text Char1 Char"/>
    <w:basedOn w:val="DefaultParagraphFont"/>
    <w:link w:val="FootnoteText"/>
    <w:uiPriority w:val="99"/>
    <w:rsid w:val="006E552B"/>
    <w:rPr>
      <w:sz w:val="20"/>
      <w:szCs w:val="20"/>
    </w:rPr>
  </w:style>
  <w:style w:type="character" w:styleId="FootnoteReference">
    <w:name w:val="footnote reference"/>
    <w:aliases w:val="Footnote symbol"/>
    <w:basedOn w:val="DefaultParagraphFont"/>
    <w:uiPriority w:val="99"/>
    <w:unhideWhenUsed/>
    <w:rsid w:val="006E552B"/>
    <w:rPr>
      <w:vertAlign w:val="superscript"/>
    </w:rPr>
  </w:style>
  <w:style w:type="character" w:customStyle="1" w:styleId="Heading1Char">
    <w:name w:val="Heading 1 Char"/>
    <w:aliases w:val="Chapter Hdg Char,Section Heading Char,Chapter Heading Char"/>
    <w:basedOn w:val="DefaultParagraphFont"/>
    <w:link w:val="Heading1"/>
    <w:rsid w:val="00B95F95"/>
    <w:rPr>
      <w:rFonts w:ascii="Arial" w:eastAsia="Times New Roman" w:hAnsi="Arial" w:cs="Times New Roman"/>
      <w:b/>
      <w:kern w:val="28"/>
      <w:sz w:val="36"/>
      <w:szCs w:val="20"/>
      <w:lang w:val="en-GB"/>
    </w:rPr>
  </w:style>
  <w:style w:type="character" w:customStyle="1" w:styleId="Heading2Char">
    <w:name w:val="Heading 2 Char"/>
    <w:aliases w:val="Para Nos Char,Main Heading Char,Main Headi Char"/>
    <w:basedOn w:val="DefaultParagraphFont"/>
    <w:link w:val="Heading2"/>
    <w:rsid w:val="00B95F95"/>
    <w:rPr>
      <w:rFonts w:ascii="Times New Roman" w:eastAsia="Times New Roman" w:hAnsi="Times New Roman" w:cs="Times New Roman"/>
      <w:sz w:val="22"/>
      <w:szCs w:val="20"/>
      <w:lang w:val="en-GB"/>
    </w:rPr>
  </w:style>
  <w:style w:type="character" w:customStyle="1" w:styleId="Heading3Char">
    <w:name w:val="Heading 3 Char"/>
    <w:basedOn w:val="DefaultParagraphFont"/>
    <w:link w:val="Heading3"/>
    <w:uiPriority w:val="9"/>
    <w:semiHidden/>
    <w:rsid w:val="00B95F95"/>
    <w:rPr>
      <w:rFonts w:asciiTheme="majorHAnsi" w:eastAsiaTheme="majorEastAsia" w:hAnsiTheme="majorHAnsi" w:cstheme="majorBidi"/>
      <w:b/>
      <w:bCs/>
      <w:color w:val="4F81BD" w:themeColor="accent1"/>
      <w:sz w:val="22"/>
      <w:szCs w:val="22"/>
      <w:lang w:val="en-GB"/>
    </w:rPr>
  </w:style>
  <w:style w:type="character" w:customStyle="1" w:styleId="Heading4Char">
    <w:name w:val="Heading 4 Char"/>
    <w:basedOn w:val="DefaultParagraphFont"/>
    <w:link w:val="Heading4"/>
    <w:rsid w:val="00B95F95"/>
    <w:rPr>
      <w:rFonts w:ascii="Arial" w:eastAsia="Times New Roman" w:hAnsi="Arial" w:cs="Times New Roman"/>
      <w:b/>
      <w:i/>
      <w:szCs w:val="20"/>
      <w:lang w:val="en-GB"/>
    </w:rPr>
  </w:style>
  <w:style w:type="character" w:customStyle="1" w:styleId="Heading5Char">
    <w:name w:val="Heading 5 Char"/>
    <w:aliases w:val="Paragraph Text Char"/>
    <w:basedOn w:val="DefaultParagraphFont"/>
    <w:link w:val="Heading5"/>
    <w:rsid w:val="00B95F95"/>
    <w:rPr>
      <w:rFonts w:ascii="Arial" w:eastAsia="Times New Roman" w:hAnsi="Arial" w:cs="Times New Roman"/>
      <w:sz w:val="22"/>
      <w:szCs w:val="20"/>
      <w:lang w:val="en-GB"/>
    </w:rPr>
  </w:style>
  <w:style w:type="character" w:customStyle="1" w:styleId="Heading6Char">
    <w:name w:val="Heading 6 Char"/>
    <w:basedOn w:val="DefaultParagraphFont"/>
    <w:link w:val="Heading6"/>
    <w:rsid w:val="00B95F95"/>
    <w:rPr>
      <w:rFonts w:ascii="Arial" w:eastAsia="Times New Roman" w:hAnsi="Arial" w:cs="Times New Roman"/>
      <w:i/>
      <w:sz w:val="22"/>
      <w:szCs w:val="20"/>
      <w:lang w:val="en-GB"/>
    </w:rPr>
  </w:style>
  <w:style w:type="character" w:customStyle="1" w:styleId="Heading7Char">
    <w:name w:val="Heading 7 Char"/>
    <w:basedOn w:val="DefaultParagraphFont"/>
    <w:link w:val="Heading7"/>
    <w:rsid w:val="00B95F95"/>
    <w:rPr>
      <w:rFonts w:ascii="Arial" w:eastAsia="Times New Roman" w:hAnsi="Arial" w:cs="Times New Roman"/>
      <w:sz w:val="22"/>
      <w:szCs w:val="20"/>
      <w:lang w:val="en-GB"/>
    </w:rPr>
  </w:style>
  <w:style w:type="character" w:customStyle="1" w:styleId="Heading8Char">
    <w:name w:val="Heading 8 Char"/>
    <w:basedOn w:val="DefaultParagraphFont"/>
    <w:link w:val="Heading8"/>
    <w:rsid w:val="00B95F95"/>
    <w:rPr>
      <w:rFonts w:ascii="Arial" w:eastAsia="Times New Roman" w:hAnsi="Arial" w:cs="Times New Roman"/>
      <w:i/>
      <w:sz w:val="22"/>
      <w:szCs w:val="20"/>
      <w:lang w:val="en-GB"/>
    </w:rPr>
  </w:style>
  <w:style w:type="character" w:customStyle="1" w:styleId="Heading9Char">
    <w:name w:val="Heading 9 Char"/>
    <w:basedOn w:val="DefaultParagraphFont"/>
    <w:link w:val="Heading9"/>
    <w:rsid w:val="00B95F95"/>
    <w:rPr>
      <w:rFonts w:ascii="Arial" w:eastAsia="Times New Roman" w:hAnsi="Arial" w:cs="Times New Roman"/>
      <w:i/>
      <w:sz w:val="18"/>
      <w:szCs w:val="20"/>
      <w:lang w:val="en-GB"/>
    </w:rPr>
  </w:style>
  <w:style w:type="paragraph" w:styleId="BodyText">
    <w:name w:val="Body Text"/>
    <w:basedOn w:val="Normal"/>
    <w:link w:val="BodyTextChar"/>
    <w:rsid w:val="00B95F95"/>
    <w:pPr>
      <w:spacing w:after="120"/>
      <w:jc w:val="both"/>
    </w:pPr>
    <w:rPr>
      <w:rFonts w:ascii="Times New Roman" w:eastAsia="Times New Roman" w:hAnsi="Times New Roman" w:cs="Times New Roman"/>
    </w:rPr>
  </w:style>
  <w:style w:type="character" w:customStyle="1" w:styleId="BodyTextChar">
    <w:name w:val="Body Text Char"/>
    <w:basedOn w:val="DefaultParagraphFont"/>
    <w:link w:val="BodyText"/>
    <w:rsid w:val="00B95F95"/>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B95F95"/>
    <w:rPr>
      <w:sz w:val="20"/>
      <w:szCs w:val="20"/>
      <w:lang w:val="en-GB"/>
    </w:rPr>
  </w:style>
  <w:style w:type="character" w:customStyle="1" w:styleId="EndnoteTextChar">
    <w:name w:val="Endnote Text Char"/>
    <w:basedOn w:val="DefaultParagraphFont"/>
    <w:link w:val="EndnoteText"/>
    <w:uiPriority w:val="99"/>
    <w:semiHidden/>
    <w:rsid w:val="00B95F95"/>
    <w:rPr>
      <w:sz w:val="20"/>
      <w:szCs w:val="20"/>
      <w:lang w:val="en-GB"/>
    </w:rPr>
  </w:style>
  <w:style w:type="character" w:styleId="EndnoteReference">
    <w:name w:val="endnote reference"/>
    <w:basedOn w:val="DefaultParagraphFont"/>
    <w:uiPriority w:val="99"/>
    <w:semiHidden/>
    <w:unhideWhenUsed/>
    <w:rsid w:val="00B95F95"/>
    <w:rPr>
      <w:vertAlign w:val="superscript"/>
    </w:rPr>
  </w:style>
  <w:style w:type="paragraph" w:styleId="BodyText2">
    <w:name w:val="Body Text 2"/>
    <w:basedOn w:val="Normal"/>
    <w:link w:val="BodyText2Char"/>
    <w:uiPriority w:val="99"/>
    <w:semiHidden/>
    <w:unhideWhenUsed/>
    <w:rsid w:val="00B95F95"/>
    <w:pPr>
      <w:spacing w:after="120" w:line="480" w:lineRule="auto"/>
    </w:pPr>
    <w:rPr>
      <w:sz w:val="22"/>
      <w:szCs w:val="22"/>
      <w:lang w:val="en-GB"/>
    </w:rPr>
  </w:style>
  <w:style w:type="character" w:customStyle="1" w:styleId="BodyText2Char">
    <w:name w:val="Body Text 2 Char"/>
    <w:basedOn w:val="DefaultParagraphFont"/>
    <w:link w:val="BodyText2"/>
    <w:uiPriority w:val="99"/>
    <w:semiHidden/>
    <w:rsid w:val="00B95F95"/>
    <w:rPr>
      <w:sz w:val="22"/>
      <w:szCs w:val="22"/>
      <w:lang w:val="en-GB"/>
    </w:rPr>
  </w:style>
  <w:style w:type="paragraph" w:customStyle="1" w:styleId="Bullet1">
    <w:name w:val="Bullet1"/>
    <w:basedOn w:val="ListBullet"/>
    <w:link w:val="Bullet1Char"/>
    <w:qFormat/>
    <w:rsid w:val="00B95F95"/>
    <w:pPr>
      <w:tabs>
        <w:tab w:val="num" w:pos="720"/>
      </w:tabs>
      <w:spacing w:after="120" w:line="288" w:lineRule="auto"/>
      <w:ind w:hanging="720"/>
      <w:jc w:val="both"/>
    </w:pPr>
    <w:rPr>
      <w:rFonts w:ascii="Cambria" w:eastAsia="Times New Roman" w:hAnsi="Cambria" w:cs="Times New Roman"/>
      <w:szCs w:val="20"/>
    </w:rPr>
  </w:style>
  <w:style w:type="character" w:customStyle="1" w:styleId="Bullet1Char">
    <w:name w:val="Bullet1 Char"/>
    <w:link w:val="Bullet1"/>
    <w:rsid w:val="00B95F95"/>
    <w:rPr>
      <w:rFonts w:ascii="Cambria" w:eastAsia="Times New Roman" w:hAnsi="Cambria" w:cs="Times New Roman"/>
      <w:sz w:val="22"/>
      <w:szCs w:val="20"/>
      <w:lang w:val="en-GB"/>
    </w:rPr>
  </w:style>
  <w:style w:type="paragraph" w:styleId="ListBullet">
    <w:name w:val="List Bullet"/>
    <w:basedOn w:val="Normal"/>
    <w:uiPriority w:val="99"/>
    <w:semiHidden/>
    <w:unhideWhenUsed/>
    <w:rsid w:val="00B95F95"/>
    <w:pPr>
      <w:spacing w:after="200" w:line="276" w:lineRule="auto"/>
      <w:ind w:left="720" w:hanging="360"/>
      <w:contextualSpacing/>
    </w:pPr>
    <w:rPr>
      <w:sz w:val="22"/>
      <w:szCs w:val="22"/>
      <w:lang w:val="en-GB"/>
    </w:rPr>
  </w:style>
  <w:style w:type="paragraph" w:customStyle="1" w:styleId="1HEADING1">
    <w:name w:val="1.HEADING 1"/>
    <w:basedOn w:val="ListParagraph"/>
    <w:next w:val="Normal"/>
    <w:link w:val="1HEADING1Char"/>
    <w:qFormat/>
    <w:rsid w:val="00B95F95"/>
    <w:pPr>
      <w:tabs>
        <w:tab w:val="center" w:pos="4513"/>
        <w:tab w:val="right" w:pos="9026"/>
      </w:tabs>
      <w:ind w:left="360" w:hanging="360"/>
      <w:jc w:val="both"/>
    </w:pPr>
    <w:rPr>
      <w:rFonts w:ascii="Cambria" w:eastAsia="Times New Roman" w:hAnsi="Cambria" w:cs="Times New Roman"/>
      <w:b/>
      <w:color w:val="548DD4"/>
      <w:szCs w:val="28"/>
      <w:lang w:val="en-GB"/>
    </w:rPr>
  </w:style>
  <w:style w:type="character" w:customStyle="1" w:styleId="1HEADING1Char">
    <w:name w:val="1.HEADING 1 Char"/>
    <w:link w:val="1HEADING1"/>
    <w:rsid w:val="00B95F95"/>
    <w:rPr>
      <w:rFonts w:ascii="Cambria" w:eastAsia="Times New Roman" w:hAnsi="Cambria" w:cs="Times New Roman"/>
      <w:b/>
      <w:color w:val="548DD4"/>
      <w:szCs w:val="28"/>
      <w:lang w:val="en-GB"/>
    </w:rPr>
  </w:style>
  <w:style w:type="paragraph" w:customStyle="1" w:styleId="HEADING">
    <w:name w:val="HEADING"/>
    <w:basedOn w:val="Normal"/>
    <w:next w:val="Normal"/>
    <w:link w:val="HEADINGChar"/>
    <w:qFormat/>
    <w:rsid w:val="00B95F95"/>
    <w:pPr>
      <w:spacing w:after="120" w:line="288" w:lineRule="auto"/>
      <w:contextualSpacing/>
      <w:jc w:val="both"/>
    </w:pPr>
    <w:rPr>
      <w:rFonts w:ascii="Cambria" w:eastAsia="Times New Roman" w:hAnsi="Cambria" w:cs="Times New Roman"/>
      <w:b/>
      <w:color w:val="365F91"/>
      <w:sz w:val="26"/>
      <w:szCs w:val="26"/>
      <w:lang w:val="en-GB"/>
    </w:rPr>
  </w:style>
  <w:style w:type="character" w:customStyle="1" w:styleId="HEADINGChar">
    <w:name w:val="HEADING Char"/>
    <w:link w:val="HEADING"/>
    <w:rsid w:val="00B95F95"/>
    <w:rPr>
      <w:rFonts w:ascii="Cambria" w:eastAsia="Times New Roman" w:hAnsi="Cambria" w:cs="Times New Roman"/>
      <w:b/>
      <w:color w:val="365F91"/>
      <w:sz w:val="26"/>
      <w:szCs w:val="26"/>
      <w:lang w:val="en-GB"/>
    </w:rPr>
  </w:style>
  <w:style w:type="paragraph" w:customStyle="1" w:styleId="TopHeader">
    <w:name w:val="Top Header"/>
    <w:basedOn w:val="ListBullet"/>
    <w:link w:val="TopHeaderChar"/>
    <w:qFormat/>
    <w:rsid w:val="00B95F95"/>
    <w:pPr>
      <w:pBdr>
        <w:bottom w:val="single" w:sz="4" w:space="1" w:color="auto"/>
      </w:pBdr>
      <w:spacing w:after="240" w:line="240" w:lineRule="auto"/>
      <w:ind w:left="0" w:firstLine="0"/>
      <w:contextualSpacing w:val="0"/>
      <w:jc w:val="both"/>
    </w:pPr>
    <w:rPr>
      <w:rFonts w:ascii="Calibri" w:eastAsia="Times New Roman" w:hAnsi="Calibri" w:cs="Times New Roman"/>
      <w:sz w:val="20"/>
      <w:szCs w:val="20"/>
    </w:rPr>
  </w:style>
  <w:style w:type="character" w:customStyle="1" w:styleId="TopHeaderChar">
    <w:name w:val="Top Header Char"/>
    <w:link w:val="TopHeader"/>
    <w:rsid w:val="00B95F95"/>
    <w:rPr>
      <w:rFonts w:ascii="Calibri" w:eastAsia="Times New Roman" w:hAnsi="Calibri" w:cs="Times New Roman"/>
      <w:sz w:val="20"/>
      <w:szCs w:val="20"/>
      <w:lang w:val="en-GB"/>
    </w:rPr>
  </w:style>
  <w:style w:type="paragraph" w:styleId="Header">
    <w:name w:val="header"/>
    <w:basedOn w:val="Normal"/>
    <w:link w:val="HeaderChar"/>
    <w:semiHidden/>
    <w:unhideWhenUsed/>
    <w:rsid w:val="00B95F95"/>
    <w:pPr>
      <w:tabs>
        <w:tab w:val="center" w:pos="4513"/>
        <w:tab w:val="right" w:pos="9026"/>
      </w:tabs>
    </w:pPr>
    <w:rPr>
      <w:sz w:val="22"/>
      <w:szCs w:val="22"/>
      <w:lang w:val="en-GB"/>
    </w:rPr>
  </w:style>
  <w:style w:type="character" w:customStyle="1" w:styleId="HeaderChar">
    <w:name w:val="Header Char"/>
    <w:basedOn w:val="DefaultParagraphFont"/>
    <w:link w:val="Header"/>
    <w:semiHidden/>
    <w:rsid w:val="00B95F95"/>
    <w:rPr>
      <w:sz w:val="22"/>
      <w:szCs w:val="22"/>
      <w:lang w:val="en-GB"/>
    </w:rPr>
  </w:style>
  <w:style w:type="character" w:styleId="BookTitle">
    <w:name w:val="Book Title"/>
    <w:basedOn w:val="DefaultParagraphFont"/>
    <w:uiPriority w:val="33"/>
    <w:qFormat/>
    <w:rsid w:val="00B95F95"/>
    <w:rPr>
      <w:b/>
      <w:bCs/>
      <w:smallCaps/>
      <w:spacing w:val="5"/>
    </w:rPr>
  </w:style>
  <w:style w:type="paragraph" w:customStyle="1" w:styleId="Tabletext">
    <w:name w:val="Tabletext"/>
    <w:basedOn w:val="Normal"/>
    <w:link w:val="TabletextChar"/>
    <w:autoRedefine/>
    <w:qFormat/>
    <w:rsid w:val="00B95F95"/>
    <w:pPr>
      <w:spacing w:line="288" w:lineRule="auto"/>
      <w:jc w:val="both"/>
    </w:pPr>
    <w:rPr>
      <w:rFonts w:ascii="Lucida Sans Unicode" w:eastAsia="Calibri" w:hAnsi="Lucida Sans Unicode" w:cs="Times New Roman"/>
      <w:sz w:val="16"/>
      <w:szCs w:val="16"/>
      <w:lang w:val="en-GB"/>
    </w:rPr>
  </w:style>
  <w:style w:type="character" w:customStyle="1" w:styleId="TabletextChar">
    <w:name w:val="Tabletext Char"/>
    <w:link w:val="Tabletext"/>
    <w:rsid w:val="00B95F95"/>
    <w:rPr>
      <w:rFonts w:ascii="Lucida Sans Unicode" w:eastAsia="Calibri" w:hAnsi="Lucida Sans Unicode" w:cs="Times New Roman"/>
      <w:sz w:val="16"/>
      <w:szCs w:val="16"/>
      <w:lang w:val="en-GB"/>
    </w:rPr>
  </w:style>
  <w:style w:type="paragraph" w:customStyle="1" w:styleId="TabletextBold">
    <w:name w:val="Tabletext Bold"/>
    <w:basedOn w:val="Tabletext"/>
    <w:next w:val="Tabletext"/>
    <w:link w:val="TabletextBoldChar"/>
    <w:autoRedefine/>
    <w:qFormat/>
    <w:rsid w:val="00B95F95"/>
    <w:pPr>
      <w:spacing w:line="264" w:lineRule="auto"/>
    </w:pPr>
    <w:rPr>
      <w:rFonts w:eastAsia="Times New Roman"/>
      <w:b/>
    </w:rPr>
  </w:style>
  <w:style w:type="character" w:customStyle="1" w:styleId="TabletextBoldChar">
    <w:name w:val="Tabletext Bold Char"/>
    <w:link w:val="TabletextBold"/>
    <w:rsid w:val="00B95F95"/>
    <w:rPr>
      <w:rFonts w:ascii="Lucida Sans Unicode" w:eastAsia="Times New Roman" w:hAnsi="Lucida Sans Unicode" w:cs="Times New Roman"/>
      <w:b/>
      <w:sz w:val="16"/>
      <w:szCs w:val="16"/>
      <w:lang w:val="en-GB"/>
    </w:rPr>
  </w:style>
  <w:style w:type="paragraph" w:customStyle="1" w:styleId="TableTitle">
    <w:name w:val="Table Title"/>
    <w:basedOn w:val="Normal"/>
    <w:next w:val="Normal"/>
    <w:link w:val="TableTitleChar"/>
    <w:qFormat/>
    <w:rsid w:val="00B95F95"/>
    <w:pPr>
      <w:spacing w:after="120" w:line="264" w:lineRule="auto"/>
    </w:pPr>
    <w:rPr>
      <w:rFonts w:ascii="Lucida Sans Unicode" w:eastAsia="Times New Roman" w:hAnsi="Lucida Sans Unicode" w:cs="Times New Roman"/>
      <w:b/>
      <w:sz w:val="22"/>
      <w:szCs w:val="20"/>
      <w:lang w:val="en-GB"/>
    </w:rPr>
  </w:style>
  <w:style w:type="character" w:customStyle="1" w:styleId="TableTitleChar">
    <w:name w:val="Table Title Char"/>
    <w:link w:val="TableTitle"/>
    <w:rsid w:val="00B95F95"/>
    <w:rPr>
      <w:rFonts w:ascii="Lucida Sans Unicode" w:eastAsia="Times New Roman" w:hAnsi="Lucida Sans Unicode" w:cs="Times New Roman"/>
      <w:b/>
      <w:sz w:val="22"/>
      <w:szCs w:val="20"/>
      <w:lang w:val="en-GB"/>
    </w:rPr>
  </w:style>
  <w:style w:type="paragraph" w:customStyle="1" w:styleId="NormalBold">
    <w:name w:val="Normal Bold"/>
    <w:basedOn w:val="Normal"/>
    <w:next w:val="Normal"/>
    <w:link w:val="NormalBoldChar"/>
    <w:autoRedefine/>
    <w:qFormat/>
    <w:rsid w:val="00052554"/>
    <w:pPr>
      <w:keepNext/>
      <w:jc w:val="both"/>
    </w:pPr>
    <w:rPr>
      <w:rFonts w:eastAsia="Arial" w:cstheme="minorHAnsi"/>
      <w:bCs/>
      <w:sz w:val="22"/>
      <w:szCs w:val="22"/>
      <w:lang w:val="en-GB"/>
    </w:rPr>
  </w:style>
  <w:style w:type="character" w:customStyle="1" w:styleId="NormalBoldChar">
    <w:name w:val="Normal Bold Char"/>
    <w:link w:val="NormalBold"/>
    <w:rsid w:val="00052554"/>
    <w:rPr>
      <w:rFonts w:eastAsia="Arial" w:cstheme="minorHAnsi"/>
      <w:bCs/>
      <w:sz w:val="22"/>
      <w:szCs w:val="22"/>
      <w:lang w:val="en-GB"/>
    </w:rPr>
  </w:style>
  <w:style w:type="paragraph" w:styleId="NormalWeb">
    <w:name w:val="Normal (Web)"/>
    <w:basedOn w:val="Normal"/>
    <w:uiPriority w:val="99"/>
    <w:semiHidden/>
    <w:unhideWhenUsed/>
    <w:rsid w:val="00B95F95"/>
    <w:pPr>
      <w:spacing w:before="100" w:beforeAutospacing="1" w:after="100" w:afterAutospacing="1"/>
    </w:pPr>
    <w:rPr>
      <w:rFonts w:ascii="Times New Roman" w:eastAsia="Times New Roman" w:hAnsi="Times New Roman" w:cs="Times New Roman"/>
      <w:lang w:val="en-GB" w:eastAsia="en-GB"/>
    </w:rPr>
  </w:style>
  <w:style w:type="paragraph" w:customStyle="1" w:styleId="ColorfulList-Accent11">
    <w:name w:val="Colorful List - Accent 11"/>
    <w:basedOn w:val="Normal"/>
    <w:uiPriority w:val="34"/>
    <w:qFormat/>
    <w:rsid w:val="00B95F95"/>
    <w:pPr>
      <w:spacing w:after="200" w:line="276" w:lineRule="auto"/>
      <w:ind w:left="720"/>
      <w:contextualSpacing/>
    </w:pPr>
    <w:rPr>
      <w:rFonts w:ascii="Calibri" w:eastAsia="Calibri" w:hAnsi="Calibri" w:cs="Times New Roman"/>
      <w:sz w:val="22"/>
      <w:szCs w:val="22"/>
      <w:lang w:val="en-GB"/>
    </w:rPr>
  </w:style>
  <w:style w:type="paragraph" w:customStyle="1" w:styleId="table">
    <w:name w:val="table"/>
    <w:basedOn w:val="Normal"/>
    <w:rsid w:val="00B95F95"/>
    <w:pPr>
      <w:keepNext/>
      <w:keepLines/>
      <w:overflowPunct w:val="0"/>
      <w:autoSpaceDE w:val="0"/>
      <w:autoSpaceDN w:val="0"/>
      <w:adjustRightInd w:val="0"/>
      <w:spacing w:before="60" w:after="60"/>
      <w:textAlignment w:val="baseline"/>
    </w:pPr>
    <w:rPr>
      <w:rFonts w:ascii="Times New Roman" w:eastAsia="Times New Roman" w:hAnsi="Times New Roman" w:cs="Times New Roman"/>
      <w:sz w:val="20"/>
      <w:szCs w:val="20"/>
      <w:lang w:val="en-GB" w:eastAsia="en-GB"/>
    </w:rPr>
  </w:style>
  <w:style w:type="paragraph" w:customStyle="1" w:styleId="Level1Bullets">
    <w:name w:val="Level 1 Bullets"/>
    <w:basedOn w:val="Normal"/>
    <w:rsid w:val="00B95F95"/>
    <w:pPr>
      <w:widowControl w:val="0"/>
      <w:numPr>
        <w:numId w:val="7"/>
      </w:numPr>
      <w:spacing w:after="240" w:line="312" w:lineRule="auto"/>
      <w:jc w:val="both"/>
    </w:pPr>
    <w:rPr>
      <w:rFonts w:ascii="Times New Roman" w:eastAsia="Times New Roman" w:hAnsi="Times New Roman" w:cs="Times New Roman"/>
      <w:sz w:val="22"/>
      <w:szCs w:val="20"/>
      <w:lang w:val="en-GB"/>
    </w:rPr>
  </w:style>
  <w:style w:type="paragraph" w:customStyle="1" w:styleId="TEXTMAIN">
    <w:name w:val="TEXTMAIN"/>
    <w:basedOn w:val="Heading3"/>
    <w:rsid w:val="00B95F95"/>
    <w:pPr>
      <w:keepLines w:val="0"/>
      <w:numPr>
        <w:ilvl w:val="2"/>
        <w:numId w:val="6"/>
      </w:numPr>
      <w:tabs>
        <w:tab w:val="clear" w:pos="1980"/>
        <w:tab w:val="num" w:pos="0"/>
      </w:tabs>
      <w:spacing w:before="240" w:after="60" w:line="240" w:lineRule="auto"/>
      <w:ind w:left="0"/>
      <w:jc w:val="both"/>
    </w:pPr>
    <w:rPr>
      <w:rFonts w:ascii="Times New Roman" w:eastAsia="Times New Roman" w:hAnsi="Times New Roman" w:cs="Times New Roman"/>
      <w:b w:val="0"/>
      <w:bCs w:val="0"/>
      <w:color w:val="auto"/>
      <w:szCs w:val="20"/>
    </w:rPr>
  </w:style>
  <w:style w:type="paragraph" w:customStyle="1" w:styleId="headingother">
    <w:name w:val="heading other"/>
    <w:basedOn w:val="Normal"/>
    <w:next w:val="Normal"/>
    <w:rsid w:val="00B95F95"/>
    <w:pPr>
      <w:keepNext/>
      <w:keepLines/>
      <w:spacing w:before="120" w:after="120" w:line="240" w:lineRule="atLeast"/>
    </w:pPr>
    <w:rPr>
      <w:rFonts w:ascii="Times New Roman" w:eastAsia="Times New Roman" w:hAnsi="Times New Roman" w:cs="Times New Roman"/>
      <w:i/>
      <w:szCs w:val="20"/>
      <w:lang w:val="en-GB"/>
    </w:rPr>
  </w:style>
  <w:style w:type="paragraph" w:customStyle="1" w:styleId="Default">
    <w:name w:val="Default"/>
    <w:rsid w:val="00B95F95"/>
    <w:pPr>
      <w:autoSpaceDE w:val="0"/>
      <w:autoSpaceDN w:val="0"/>
      <w:adjustRightInd w:val="0"/>
    </w:pPr>
    <w:rPr>
      <w:rFonts w:ascii="Cambria" w:hAnsi="Cambria" w:cs="Cambria"/>
      <w:color w:val="000000"/>
      <w:lang w:val="en-GB"/>
    </w:rPr>
  </w:style>
  <w:style w:type="character" w:customStyle="1" w:styleId="searchword">
    <w:name w:val="searchword"/>
    <w:basedOn w:val="DefaultParagraphFont"/>
    <w:rsid w:val="00B95F95"/>
  </w:style>
  <w:style w:type="character" w:styleId="PlaceholderText">
    <w:name w:val="Placeholder Text"/>
    <w:basedOn w:val="DefaultParagraphFont"/>
    <w:uiPriority w:val="99"/>
    <w:semiHidden/>
    <w:rsid w:val="00B95F95"/>
    <w:rPr>
      <w:color w:val="808080"/>
    </w:rPr>
  </w:style>
  <w:style w:type="paragraph" w:customStyle="1" w:styleId="Level1subhead">
    <w:name w:val="Level 1 subhead"/>
    <w:basedOn w:val="Normal"/>
    <w:next w:val="Heading2"/>
    <w:rsid w:val="00B95F95"/>
    <w:pPr>
      <w:widowControl w:val="0"/>
      <w:spacing w:after="240"/>
      <w:ind w:left="720"/>
    </w:pPr>
    <w:rPr>
      <w:rFonts w:ascii="Arial" w:eastAsia="Times New Roman" w:hAnsi="Arial" w:cs="Times New Roman"/>
      <w:b/>
      <w:szCs w:val="20"/>
      <w:lang w:val="en-GB"/>
    </w:rPr>
  </w:style>
  <w:style w:type="paragraph" w:styleId="BodyText3">
    <w:name w:val="Body Text 3"/>
    <w:basedOn w:val="Normal"/>
    <w:link w:val="BodyText3Char"/>
    <w:uiPriority w:val="99"/>
    <w:semiHidden/>
    <w:unhideWhenUsed/>
    <w:rsid w:val="00B95F95"/>
    <w:pPr>
      <w:spacing w:after="120" w:line="276" w:lineRule="auto"/>
    </w:pPr>
    <w:rPr>
      <w:sz w:val="16"/>
      <w:szCs w:val="16"/>
      <w:lang w:val="en-GB"/>
    </w:rPr>
  </w:style>
  <w:style w:type="character" w:customStyle="1" w:styleId="BodyText3Char">
    <w:name w:val="Body Text 3 Char"/>
    <w:basedOn w:val="DefaultParagraphFont"/>
    <w:link w:val="BodyText3"/>
    <w:uiPriority w:val="99"/>
    <w:semiHidden/>
    <w:rsid w:val="00B95F95"/>
    <w:rPr>
      <w:sz w:val="16"/>
      <w:szCs w:val="16"/>
      <w:lang w:val="en-GB"/>
    </w:rPr>
  </w:style>
  <w:style w:type="character" w:customStyle="1" w:styleId="cit-source">
    <w:name w:val="cit-source"/>
    <w:basedOn w:val="DefaultParagraphFont"/>
    <w:rsid w:val="00B95F95"/>
  </w:style>
  <w:style w:type="character" w:customStyle="1" w:styleId="cit-pub-date">
    <w:name w:val="cit-pub-date"/>
    <w:basedOn w:val="DefaultParagraphFont"/>
    <w:rsid w:val="00B95F95"/>
  </w:style>
  <w:style w:type="character" w:customStyle="1" w:styleId="cit-comment">
    <w:name w:val="cit-comment"/>
    <w:basedOn w:val="DefaultParagraphFont"/>
    <w:rsid w:val="00B95F95"/>
  </w:style>
  <w:style w:type="character" w:styleId="HTMLCite">
    <w:name w:val="HTML Cite"/>
    <w:basedOn w:val="DefaultParagraphFont"/>
    <w:uiPriority w:val="99"/>
    <w:semiHidden/>
    <w:unhideWhenUsed/>
    <w:rsid w:val="00B95F95"/>
    <w:rPr>
      <w:i/>
      <w:iCs/>
    </w:rPr>
  </w:style>
  <w:style w:type="character" w:styleId="Strong">
    <w:name w:val="Strong"/>
    <w:basedOn w:val="DefaultParagraphFont"/>
    <w:uiPriority w:val="22"/>
    <w:qFormat/>
    <w:rsid w:val="00B95F95"/>
    <w:rPr>
      <w:b/>
      <w:bCs/>
    </w:rPr>
  </w:style>
  <w:style w:type="paragraph" w:customStyle="1" w:styleId="Char">
    <w:name w:val="Char"/>
    <w:basedOn w:val="Normal"/>
    <w:rsid w:val="00B95F95"/>
    <w:pPr>
      <w:spacing w:after="160" w:line="240" w:lineRule="exact"/>
    </w:pPr>
    <w:rPr>
      <w:rFonts w:ascii="Verdana" w:eastAsia="Times New Roman" w:hAnsi="Verdana" w:cs="Times New Roman"/>
      <w:sz w:val="20"/>
      <w:szCs w:val="20"/>
    </w:rPr>
  </w:style>
  <w:style w:type="paragraph" w:customStyle="1" w:styleId="NotesSources">
    <w:name w:val="Notes&amp;Sources"/>
    <w:basedOn w:val="Normal"/>
    <w:link w:val="NotesSourcesChar"/>
    <w:qFormat/>
    <w:rsid w:val="00B95F95"/>
    <w:pPr>
      <w:jc w:val="both"/>
    </w:pPr>
    <w:rPr>
      <w:rFonts w:ascii="Cambria" w:eastAsia="Times New Roman" w:hAnsi="Cambria" w:cs="Times New Roman"/>
      <w:i/>
      <w:sz w:val="20"/>
      <w:szCs w:val="20"/>
      <w:lang w:val="en-GB"/>
    </w:rPr>
  </w:style>
  <w:style w:type="character" w:customStyle="1" w:styleId="NotesSourcesChar">
    <w:name w:val="Notes&amp;Sources Char"/>
    <w:link w:val="NotesSources"/>
    <w:rsid w:val="00B95F95"/>
    <w:rPr>
      <w:rFonts w:ascii="Cambria" w:eastAsia="Times New Roman" w:hAnsi="Cambria" w:cs="Times New Roman"/>
      <w:i/>
      <w:sz w:val="20"/>
      <w:szCs w:val="20"/>
      <w:lang w:val="en-GB"/>
    </w:rPr>
  </w:style>
  <w:style w:type="paragraph" w:customStyle="1" w:styleId="IllustrationTitle">
    <w:name w:val="Illustration Title"/>
    <w:basedOn w:val="Normal"/>
    <w:link w:val="IllustrationTitleChar"/>
    <w:qFormat/>
    <w:rsid w:val="00B95F95"/>
    <w:pPr>
      <w:keepNext/>
      <w:spacing w:line="288" w:lineRule="auto"/>
      <w:jc w:val="both"/>
    </w:pPr>
    <w:rPr>
      <w:rFonts w:ascii="Cambria" w:eastAsia="Times New Roman" w:hAnsi="Cambria" w:cs="Times New Roman"/>
      <w:b/>
      <w:sz w:val="22"/>
      <w:szCs w:val="20"/>
      <w:lang w:val="en-GB"/>
    </w:rPr>
  </w:style>
  <w:style w:type="character" w:customStyle="1" w:styleId="IllustrationTitleChar">
    <w:name w:val="Illustration Title Char"/>
    <w:link w:val="IllustrationTitle"/>
    <w:rsid w:val="00B95F95"/>
    <w:rPr>
      <w:rFonts w:ascii="Cambria" w:eastAsia="Times New Roman" w:hAnsi="Cambria" w:cs="Times New Roman"/>
      <w:b/>
      <w:sz w:val="22"/>
      <w:szCs w:val="20"/>
      <w:lang w:val="en-GB"/>
    </w:rPr>
  </w:style>
  <w:style w:type="paragraph" w:customStyle="1" w:styleId="Level2subhead">
    <w:name w:val="Level 2 subhead"/>
    <w:basedOn w:val="Normal"/>
    <w:next w:val="Heading2"/>
    <w:rsid w:val="00B95F95"/>
    <w:pPr>
      <w:widowControl w:val="0"/>
      <w:spacing w:after="240"/>
      <w:ind w:left="720"/>
    </w:pPr>
    <w:rPr>
      <w:rFonts w:ascii="Arial" w:eastAsia="Times New Roman" w:hAnsi="Arial" w:cs="Times New Roman"/>
      <w:b/>
      <w:i/>
      <w:sz w:val="22"/>
      <w:szCs w:val="20"/>
      <w:lang w:val="en-GB"/>
    </w:rPr>
  </w:style>
  <w:style w:type="paragraph" w:customStyle="1" w:styleId="Level2Bullets">
    <w:name w:val="Level 2 Bullets"/>
    <w:basedOn w:val="Heading2"/>
    <w:rsid w:val="00B95F95"/>
    <w:pPr>
      <w:numPr>
        <w:ilvl w:val="0"/>
        <w:numId w:val="20"/>
      </w:numPr>
      <w:tabs>
        <w:tab w:val="clear" w:pos="360"/>
      </w:tabs>
      <w:spacing w:after="120" w:line="312" w:lineRule="auto"/>
      <w:ind w:left="1800"/>
      <w:outlineLvl w:val="9"/>
    </w:pPr>
    <w:rPr>
      <w:rFonts w:ascii="Arial" w:hAnsi="Arial"/>
    </w:rPr>
  </w:style>
  <w:style w:type="paragraph" w:customStyle="1" w:styleId="1ListNumbered">
    <w:name w:val="1. List Numbered"/>
    <w:basedOn w:val="List"/>
    <w:qFormat/>
    <w:rsid w:val="00B95F95"/>
    <w:pPr>
      <w:numPr>
        <w:numId w:val="21"/>
      </w:numPr>
      <w:spacing w:after="120" w:line="288" w:lineRule="auto"/>
      <w:ind w:left="1069"/>
    </w:pPr>
    <w:rPr>
      <w:rFonts w:ascii="Lucida Sans Unicode" w:eastAsia="Times New Roman" w:hAnsi="Lucida Sans Unicode" w:cs="Times New Roman"/>
      <w:sz w:val="20"/>
      <w:szCs w:val="20"/>
    </w:rPr>
  </w:style>
  <w:style w:type="paragraph" w:styleId="List">
    <w:name w:val="List"/>
    <w:basedOn w:val="Normal"/>
    <w:uiPriority w:val="99"/>
    <w:semiHidden/>
    <w:unhideWhenUsed/>
    <w:rsid w:val="00B95F95"/>
    <w:pPr>
      <w:spacing w:after="200" w:line="276" w:lineRule="auto"/>
      <w:ind w:left="283" w:hanging="283"/>
      <w:contextualSpacing/>
    </w:pPr>
    <w:rPr>
      <w:sz w:val="22"/>
      <w:szCs w:val="22"/>
      <w:lang w:val="en-GB"/>
    </w:rPr>
  </w:style>
  <w:style w:type="character" w:styleId="CommentReference">
    <w:name w:val="annotation reference"/>
    <w:basedOn w:val="DefaultParagraphFont"/>
    <w:uiPriority w:val="99"/>
    <w:semiHidden/>
    <w:unhideWhenUsed/>
    <w:rsid w:val="009E0E67"/>
    <w:rPr>
      <w:sz w:val="16"/>
      <w:szCs w:val="16"/>
    </w:rPr>
  </w:style>
  <w:style w:type="paragraph" w:styleId="CommentText">
    <w:name w:val="annotation text"/>
    <w:basedOn w:val="Normal"/>
    <w:link w:val="CommentTextChar"/>
    <w:semiHidden/>
    <w:unhideWhenUsed/>
    <w:rsid w:val="009E0E67"/>
    <w:rPr>
      <w:sz w:val="20"/>
      <w:szCs w:val="20"/>
    </w:rPr>
  </w:style>
  <w:style w:type="character" w:customStyle="1" w:styleId="CommentTextChar">
    <w:name w:val="Comment Text Char"/>
    <w:basedOn w:val="DefaultParagraphFont"/>
    <w:link w:val="CommentText"/>
    <w:uiPriority w:val="99"/>
    <w:semiHidden/>
    <w:rsid w:val="009E0E67"/>
    <w:rPr>
      <w:sz w:val="20"/>
      <w:szCs w:val="20"/>
    </w:rPr>
  </w:style>
  <w:style w:type="paragraph" w:styleId="CommentSubject">
    <w:name w:val="annotation subject"/>
    <w:basedOn w:val="CommentText"/>
    <w:next w:val="CommentText"/>
    <w:link w:val="CommentSubjectChar"/>
    <w:uiPriority w:val="99"/>
    <w:semiHidden/>
    <w:unhideWhenUsed/>
    <w:rsid w:val="009E0E67"/>
    <w:rPr>
      <w:b/>
      <w:bCs/>
    </w:rPr>
  </w:style>
  <w:style w:type="character" w:customStyle="1" w:styleId="CommentSubjectChar">
    <w:name w:val="Comment Subject Char"/>
    <w:basedOn w:val="CommentTextChar"/>
    <w:link w:val="CommentSubject"/>
    <w:uiPriority w:val="99"/>
    <w:semiHidden/>
    <w:rsid w:val="009E0E67"/>
    <w:rPr>
      <w:b/>
      <w:bCs/>
      <w:sz w:val="20"/>
      <w:szCs w:val="20"/>
    </w:rPr>
  </w:style>
  <w:style w:type="paragraph" w:styleId="ListBullet3">
    <w:name w:val="List Bullet 3"/>
    <w:basedOn w:val="Normal"/>
    <w:autoRedefine/>
    <w:rsid w:val="004C1657"/>
    <w:pPr>
      <w:numPr>
        <w:numId w:val="24"/>
      </w:numPr>
      <w:jc w:val="both"/>
    </w:pPr>
    <w:rPr>
      <w:rFonts w:ascii="Garamond" w:eastAsia="Times New Roman" w:hAnsi="Garamond"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4666">
      <w:bodyDiv w:val="1"/>
      <w:marLeft w:val="0"/>
      <w:marRight w:val="0"/>
      <w:marTop w:val="0"/>
      <w:marBottom w:val="0"/>
      <w:divBdr>
        <w:top w:val="none" w:sz="0" w:space="0" w:color="auto"/>
        <w:left w:val="none" w:sz="0" w:space="0" w:color="auto"/>
        <w:bottom w:val="none" w:sz="0" w:space="0" w:color="auto"/>
        <w:right w:val="none" w:sz="0" w:space="0" w:color="auto"/>
      </w:divBdr>
      <w:divsChild>
        <w:div w:id="107700439">
          <w:marLeft w:val="1166"/>
          <w:marRight w:val="0"/>
          <w:marTop w:val="134"/>
          <w:marBottom w:val="0"/>
          <w:divBdr>
            <w:top w:val="none" w:sz="0" w:space="0" w:color="auto"/>
            <w:left w:val="none" w:sz="0" w:space="0" w:color="auto"/>
            <w:bottom w:val="none" w:sz="0" w:space="0" w:color="auto"/>
            <w:right w:val="none" w:sz="0" w:space="0" w:color="auto"/>
          </w:divBdr>
        </w:div>
        <w:div w:id="1149051009">
          <w:marLeft w:val="1166"/>
          <w:marRight w:val="0"/>
          <w:marTop w:val="134"/>
          <w:marBottom w:val="0"/>
          <w:divBdr>
            <w:top w:val="none" w:sz="0" w:space="0" w:color="auto"/>
            <w:left w:val="none" w:sz="0" w:space="0" w:color="auto"/>
            <w:bottom w:val="none" w:sz="0" w:space="0" w:color="auto"/>
            <w:right w:val="none" w:sz="0" w:space="0" w:color="auto"/>
          </w:divBdr>
        </w:div>
        <w:div w:id="1275668972">
          <w:marLeft w:val="547"/>
          <w:marRight w:val="0"/>
          <w:marTop w:val="154"/>
          <w:marBottom w:val="0"/>
          <w:divBdr>
            <w:top w:val="none" w:sz="0" w:space="0" w:color="auto"/>
            <w:left w:val="none" w:sz="0" w:space="0" w:color="auto"/>
            <w:bottom w:val="none" w:sz="0" w:space="0" w:color="auto"/>
            <w:right w:val="none" w:sz="0" w:space="0" w:color="auto"/>
          </w:divBdr>
        </w:div>
        <w:div w:id="1555310169">
          <w:marLeft w:val="1166"/>
          <w:marRight w:val="0"/>
          <w:marTop w:val="134"/>
          <w:marBottom w:val="0"/>
          <w:divBdr>
            <w:top w:val="none" w:sz="0" w:space="0" w:color="auto"/>
            <w:left w:val="none" w:sz="0" w:space="0" w:color="auto"/>
            <w:bottom w:val="none" w:sz="0" w:space="0" w:color="auto"/>
            <w:right w:val="none" w:sz="0" w:space="0" w:color="auto"/>
          </w:divBdr>
        </w:div>
        <w:div w:id="1731149888">
          <w:marLeft w:val="547"/>
          <w:marRight w:val="0"/>
          <w:marTop w:val="154"/>
          <w:marBottom w:val="0"/>
          <w:divBdr>
            <w:top w:val="none" w:sz="0" w:space="0" w:color="auto"/>
            <w:left w:val="none" w:sz="0" w:space="0" w:color="auto"/>
            <w:bottom w:val="none" w:sz="0" w:space="0" w:color="auto"/>
            <w:right w:val="none" w:sz="0" w:space="0" w:color="auto"/>
          </w:divBdr>
        </w:div>
        <w:div w:id="1746948532">
          <w:marLeft w:val="1166"/>
          <w:marRight w:val="0"/>
          <w:marTop w:val="134"/>
          <w:marBottom w:val="0"/>
          <w:divBdr>
            <w:top w:val="none" w:sz="0" w:space="0" w:color="auto"/>
            <w:left w:val="none" w:sz="0" w:space="0" w:color="auto"/>
            <w:bottom w:val="none" w:sz="0" w:space="0" w:color="auto"/>
            <w:right w:val="none" w:sz="0" w:space="0" w:color="auto"/>
          </w:divBdr>
        </w:div>
      </w:divsChild>
    </w:div>
    <w:div w:id="561448780">
      <w:bodyDiv w:val="1"/>
      <w:marLeft w:val="0"/>
      <w:marRight w:val="0"/>
      <w:marTop w:val="0"/>
      <w:marBottom w:val="0"/>
      <w:divBdr>
        <w:top w:val="none" w:sz="0" w:space="0" w:color="auto"/>
        <w:left w:val="none" w:sz="0" w:space="0" w:color="auto"/>
        <w:bottom w:val="none" w:sz="0" w:space="0" w:color="auto"/>
        <w:right w:val="none" w:sz="0" w:space="0" w:color="auto"/>
      </w:divBdr>
      <w:divsChild>
        <w:div w:id="12651818">
          <w:marLeft w:val="0"/>
          <w:marRight w:val="0"/>
          <w:marTop w:val="0"/>
          <w:marBottom w:val="0"/>
          <w:divBdr>
            <w:top w:val="none" w:sz="0" w:space="0" w:color="auto"/>
            <w:left w:val="none" w:sz="0" w:space="0" w:color="auto"/>
            <w:bottom w:val="none" w:sz="0" w:space="0" w:color="auto"/>
            <w:right w:val="none" w:sz="0" w:space="0" w:color="auto"/>
          </w:divBdr>
        </w:div>
        <w:div w:id="34936182">
          <w:marLeft w:val="0"/>
          <w:marRight w:val="0"/>
          <w:marTop w:val="0"/>
          <w:marBottom w:val="0"/>
          <w:divBdr>
            <w:top w:val="none" w:sz="0" w:space="0" w:color="auto"/>
            <w:left w:val="none" w:sz="0" w:space="0" w:color="auto"/>
            <w:bottom w:val="none" w:sz="0" w:space="0" w:color="auto"/>
            <w:right w:val="none" w:sz="0" w:space="0" w:color="auto"/>
          </w:divBdr>
        </w:div>
        <w:div w:id="242029376">
          <w:marLeft w:val="0"/>
          <w:marRight w:val="0"/>
          <w:marTop w:val="0"/>
          <w:marBottom w:val="0"/>
          <w:divBdr>
            <w:top w:val="none" w:sz="0" w:space="0" w:color="auto"/>
            <w:left w:val="none" w:sz="0" w:space="0" w:color="auto"/>
            <w:bottom w:val="none" w:sz="0" w:space="0" w:color="auto"/>
            <w:right w:val="none" w:sz="0" w:space="0" w:color="auto"/>
          </w:divBdr>
        </w:div>
        <w:div w:id="282345179">
          <w:marLeft w:val="0"/>
          <w:marRight w:val="0"/>
          <w:marTop w:val="0"/>
          <w:marBottom w:val="0"/>
          <w:divBdr>
            <w:top w:val="none" w:sz="0" w:space="0" w:color="auto"/>
            <w:left w:val="none" w:sz="0" w:space="0" w:color="auto"/>
            <w:bottom w:val="none" w:sz="0" w:space="0" w:color="auto"/>
            <w:right w:val="none" w:sz="0" w:space="0" w:color="auto"/>
          </w:divBdr>
        </w:div>
        <w:div w:id="300040399">
          <w:marLeft w:val="0"/>
          <w:marRight w:val="0"/>
          <w:marTop w:val="0"/>
          <w:marBottom w:val="0"/>
          <w:divBdr>
            <w:top w:val="none" w:sz="0" w:space="0" w:color="auto"/>
            <w:left w:val="none" w:sz="0" w:space="0" w:color="auto"/>
            <w:bottom w:val="none" w:sz="0" w:space="0" w:color="auto"/>
            <w:right w:val="none" w:sz="0" w:space="0" w:color="auto"/>
          </w:divBdr>
        </w:div>
        <w:div w:id="1038044720">
          <w:marLeft w:val="0"/>
          <w:marRight w:val="0"/>
          <w:marTop w:val="0"/>
          <w:marBottom w:val="0"/>
          <w:divBdr>
            <w:top w:val="none" w:sz="0" w:space="0" w:color="auto"/>
            <w:left w:val="none" w:sz="0" w:space="0" w:color="auto"/>
            <w:bottom w:val="none" w:sz="0" w:space="0" w:color="auto"/>
            <w:right w:val="none" w:sz="0" w:space="0" w:color="auto"/>
          </w:divBdr>
        </w:div>
        <w:div w:id="1427194556">
          <w:marLeft w:val="0"/>
          <w:marRight w:val="0"/>
          <w:marTop w:val="0"/>
          <w:marBottom w:val="0"/>
          <w:divBdr>
            <w:top w:val="none" w:sz="0" w:space="0" w:color="auto"/>
            <w:left w:val="none" w:sz="0" w:space="0" w:color="auto"/>
            <w:bottom w:val="none" w:sz="0" w:space="0" w:color="auto"/>
            <w:right w:val="none" w:sz="0" w:space="0" w:color="auto"/>
          </w:divBdr>
        </w:div>
        <w:div w:id="1518617618">
          <w:marLeft w:val="0"/>
          <w:marRight w:val="0"/>
          <w:marTop w:val="0"/>
          <w:marBottom w:val="0"/>
          <w:divBdr>
            <w:top w:val="none" w:sz="0" w:space="0" w:color="auto"/>
            <w:left w:val="none" w:sz="0" w:space="0" w:color="auto"/>
            <w:bottom w:val="none" w:sz="0" w:space="0" w:color="auto"/>
            <w:right w:val="none" w:sz="0" w:space="0" w:color="auto"/>
          </w:divBdr>
        </w:div>
        <w:div w:id="1589460573">
          <w:marLeft w:val="0"/>
          <w:marRight w:val="0"/>
          <w:marTop w:val="0"/>
          <w:marBottom w:val="0"/>
          <w:divBdr>
            <w:top w:val="none" w:sz="0" w:space="0" w:color="auto"/>
            <w:left w:val="none" w:sz="0" w:space="0" w:color="auto"/>
            <w:bottom w:val="none" w:sz="0" w:space="0" w:color="auto"/>
            <w:right w:val="none" w:sz="0" w:space="0" w:color="auto"/>
          </w:divBdr>
        </w:div>
        <w:div w:id="1621718490">
          <w:marLeft w:val="0"/>
          <w:marRight w:val="0"/>
          <w:marTop w:val="0"/>
          <w:marBottom w:val="0"/>
          <w:divBdr>
            <w:top w:val="none" w:sz="0" w:space="0" w:color="auto"/>
            <w:left w:val="none" w:sz="0" w:space="0" w:color="auto"/>
            <w:bottom w:val="none" w:sz="0" w:space="0" w:color="auto"/>
            <w:right w:val="none" w:sz="0" w:space="0" w:color="auto"/>
          </w:divBdr>
        </w:div>
        <w:div w:id="2007778800">
          <w:marLeft w:val="0"/>
          <w:marRight w:val="0"/>
          <w:marTop w:val="0"/>
          <w:marBottom w:val="0"/>
          <w:divBdr>
            <w:top w:val="none" w:sz="0" w:space="0" w:color="auto"/>
            <w:left w:val="none" w:sz="0" w:space="0" w:color="auto"/>
            <w:bottom w:val="none" w:sz="0" w:space="0" w:color="auto"/>
            <w:right w:val="none" w:sz="0" w:space="0" w:color="auto"/>
          </w:divBdr>
        </w:div>
      </w:divsChild>
    </w:div>
    <w:div w:id="633100907">
      <w:bodyDiv w:val="1"/>
      <w:marLeft w:val="0"/>
      <w:marRight w:val="0"/>
      <w:marTop w:val="0"/>
      <w:marBottom w:val="0"/>
      <w:divBdr>
        <w:top w:val="none" w:sz="0" w:space="0" w:color="auto"/>
        <w:left w:val="none" w:sz="0" w:space="0" w:color="auto"/>
        <w:bottom w:val="none" w:sz="0" w:space="0" w:color="auto"/>
        <w:right w:val="none" w:sz="0" w:space="0" w:color="auto"/>
      </w:divBdr>
      <w:divsChild>
        <w:div w:id="891113493">
          <w:marLeft w:val="1166"/>
          <w:marRight w:val="0"/>
          <w:marTop w:val="134"/>
          <w:marBottom w:val="0"/>
          <w:divBdr>
            <w:top w:val="none" w:sz="0" w:space="0" w:color="auto"/>
            <w:left w:val="none" w:sz="0" w:space="0" w:color="auto"/>
            <w:bottom w:val="none" w:sz="0" w:space="0" w:color="auto"/>
            <w:right w:val="none" w:sz="0" w:space="0" w:color="auto"/>
          </w:divBdr>
        </w:div>
        <w:div w:id="1185900075">
          <w:marLeft w:val="1166"/>
          <w:marRight w:val="0"/>
          <w:marTop w:val="134"/>
          <w:marBottom w:val="0"/>
          <w:divBdr>
            <w:top w:val="none" w:sz="0" w:space="0" w:color="auto"/>
            <w:left w:val="none" w:sz="0" w:space="0" w:color="auto"/>
            <w:bottom w:val="none" w:sz="0" w:space="0" w:color="auto"/>
            <w:right w:val="none" w:sz="0" w:space="0" w:color="auto"/>
          </w:divBdr>
        </w:div>
        <w:div w:id="1587424012">
          <w:marLeft w:val="547"/>
          <w:marRight w:val="0"/>
          <w:marTop w:val="154"/>
          <w:marBottom w:val="0"/>
          <w:divBdr>
            <w:top w:val="none" w:sz="0" w:space="0" w:color="auto"/>
            <w:left w:val="none" w:sz="0" w:space="0" w:color="auto"/>
            <w:bottom w:val="none" w:sz="0" w:space="0" w:color="auto"/>
            <w:right w:val="none" w:sz="0" w:space="0" w:color="auto"/>
          </w:divBdr>
        </w:div>
        <w:div w:id="1833787234">
          <w:marLeft w:val="547"/>
          <w:marRight w:val="0"/>
          <w:marTop w:val="154"/>
          <w:marBottom w:val="0"/>
          <w:divBdr>
            <w:top w:val="none" w:sz="0" w:space="0" w:color="auto"/>
            <w:left w:val="none" w:sz="0" w:space="0" w:color="auto"/>
            <w:bottom w:val="none" w:sz="0" w:space="0" w:color="auto"/>
            <w:right w:val="none" w:sz="0" w:space="0" w:color="auto"/>
          </w:divBdr>
        </w:div>
        <w:div w:id="1955867919">
          <w:marLeft w:val="1166"/>
          <w:marRight w:val="0"/>
          <w:marTop w:val="134"/>
          <w:marBottom w:val="0"/>
          <w:divBdr>
            <w:top w:val="none" w:sz="0" w:space="0" w:color="auto"/>
            <w:left w:val="none" w:sz="0" w:space="0" w:color="auto"/>
            <w:bottom w:val="none" w:sz="0" w:space="0" w:color="auto"/>
            <w:right w:val="none" w:sz="0" w:space="0" w:color="auto"/>
          </w:divBdr>
        </w:div>
      </w:divsChild>
    </w:div>
    <w:div w:id="663748630">
      <w:bodyDiv w:val="1"/>
      <w:marLeft w:val="0"/>
      <w:marRight w:val="0"/>
      <w:marTop w:val="0"/>
      <w:marBottom w:val="0"/>
      <w:divBdr>
        <w:top w:val="none" w:sz="0" w:space="0" w:color="auto"/>
        <w:left w:val="none" w:sz="0" w:space="0" w:color="auto"/>
        <w:bottom w:val="none" w:sz="0" w:space="0" w:color="auto"/>
        <w:right w:val="none" w:sz="0" w:space="0" w:color="auto"/>
      </w:divBdr>
      <w:divsChild>
        <w:div w:id="84961009">
          <w:marLeft w:val="547"/>
          <w:marRight w:val="0"/>
          <w:marTop w:val="154"/>
          <w:marBottom w:val="0"/>
          <w:divBdr>
            <w:top w:val="none" w:sz="0" w:space="0" w:color="auto"/>
            <w:left w:val="none" w:sz="0" w:space="0" w:color="auto"/>
            <w:bottom w:val="none" w:sz="0" w:space="0" w:color="auto"/>
            <w:right w:val="none" w:sz="0" w:space="0" w:color="auto"/>
          </w:divBdr>
        </w:div>
        <w:div w:id="1365326050">
          <w:marLeft w:val="1166"/>
          <w:marRight w:val="0"/>
          <w:marTop w:val="134"/>
          <w:marBottom w:val="0"/>
          <w:divBdr>
            <w:top w:val="none" w:sz="0" w:space="0" w:color="auto"/>
            <w:left w:val="none" w:sz="0" w:space="0" w:color="auto"/>
            <w:bottom w:val="none" w:sz="0" w:space="0" w:color="auto"/>
            <w:right w:val="none" w:sz="0" w:space="0" w:color="auto"/>
          </w:divBdr>
        </w:div>
        <w:div w:id="1372531972">
          <w:marLeft w:val="1166"/>
          <w:marRight w:val="0"/>
          <w:marTop w:val="134"/>
          <w:marBottom w:val="0"/>
          <w:divBdr>
            <w:top w:val="none" w:sz="0" w:space="0" w:color="auto"/>
            <w:left w:val="none" w:sz="0" w:space="0" w:color="auto"/>
            <w:bottom w:val="none" w:sz="0" w:space="0" w:color="auto"/>
            <w:right w:val="none" w:sz="0" w:space="0" w:color="auto"/>
          </w:divBdr>
        </w:div>
        <w:div w:id="1561212724">
          <w:marLeft w:val="1166"/>
          <w:marRight w:val="0"/>
          <w:marTop w:val="134"/>
          <w:marBottom w:val="0"/>
          <w:divBdr>
            <w:top w:val="none" w:sz="0" w:space="0" w:color="auto"/>
            <w:left w:val="none" w:sz="0" w:space="0" w:color="auto"/>
            <w:bottom w:val="none" w:sz="0" w:space="0" w:color="auto"/>
            <w:right w:val="none" w:sz="0" w:space="0" w:color="auto"/>
          </w:divBdr>
        </w:div>
        <w:div w:id="1718163426">
          <w:marLeft w:val="547"/>
          <w:marRight w:val="0"/>
          <w:marTop w:val="154"/>
          <w:marBottom w:val="0"/>
          <w:divBdr>
            <w:top w:val="none" w:sz="0" w:space="0" w:color="auto"/>
            <w:left w:val="none" w:sz="0" w:space="0" w:color="auto"/>
            <w:bottom w:val="none" w:sz="0" w:space="0" w:color="auto"/>
            <w:right w:val="none" w:sz="0" w:space="0" w:color="auto"/>
          </w:divBdr>
        </w:div>
        <w:div w:id="2072144838">
          <w:marLeft w:val="1166"/>
          <w:marRight w:val="0"/>
          <w:marTop w:val="134"/>
          <w:marBottom w:val="0"/>
          <w:divBdr>
            <w:top w:val="none" w:sz="0" w:space="0" w:color="auto"/>
            <w:left w:val="none" w:sz="0" w:space="0" w:color="auto"/>
            <w:bottom w:val="none" w:sz="0" w:space="0" w:color="auto"/>
            <w:right w:val="none" w:sz="0" w:space="0" w:color="auto"/>
          </w:divBdr>
        </w:div>
      </w:divsChild>
    </w:div>
    <w:div w:id="864757292">
      <w:bodyDiv w:val="1"/>
      <w:marLeft w:val="0"/>
      <w:marRight w:val="0"/>
      <w:marTop w:val="0"/>
      <w:marBottom w:val="0"/>
      <w:divBdr>
        <w:top w:val="none" w:sz="0" w:space="0" w:color="auto"/>
        <w:left w:val="none" w:sz="0" w:space="0" w:color="auto"/>
        <w:bottom w:val="none" w:sz="0" w:space="0" w:color="auto"/>
        <w:right w:val="none" w:sz="0" w:space="0" w:color="auto"/>
      </w:divBdr>
    </w:div>
    <w:div w:id="1313949917">
      <w:bodyDiv w:val="1"/>
      <w:marLeft w:val="0"/>
      <w:marRight w:val="0"/>
      <w:marTop w:val="0"/>
      <w:marBottom w:val="0"/>
      <w:divBdr>
        <w:top w:val="none" w:sz="0" w:space="0" w:color="auto"/>
        <w:left w:val="none" w:sz="0" w:space="0" w:color="auto"/>
        <w:bottom w:val="none" w:sz="0" w:space="0" w:color="auto"/>
        <w:right w:val="none" w:sz="0" w:space="0" w:color="auto"/>
      </w:divBdr>
    </w:div>
    <w:div w:id="1387990822">
      <w:bodyDiv w:val="1"/>
      <w:marLeft w:val="0"/>
      <w:marRight w:val="0"/>
      <w:marTop w:val="0"/>
      <w:marBottom w:val="0"/>
      <w:divBdr>
        <w:top w:val="none" w:sz="0" w:space="0" w:color="auto"/>
        <w:left w:val="none" w:sz="0" w:space="0" w:color="auto"/>
        <w:bottom w:val="none" w:sz="0" w:space="0" w:color="auto"/>
        <w:right w:val="none" w:sz="0" w:space="0" w:color="auto"/>
      </w:divBdr>
      <w:divsChild>
        <w:div w:id="374543620">
          <w:marLeft w:val="0"/>
          <w:marRight w:val="0"/>
          <w:marTop w:val="0"/>
          <w:marBottom w:val="0"/>
          <w:divBdr>
            <w:top w:val="none" w:sz="0" w:space="0" w:color="auto"/>
            <w:left w:val="none" w:sz="0" w:space="0" w:color="auto"/>
            <w:bottom w:val="none" w:sz="0" w:space="0" w:color="auto"/>
            <w:right w:val="none" w:sz="0" w:space="0" w:color="auto"/>
          </w:divBdr>
        </w:div>
        <w:div w:id="1255869014">
          <w:marLeft w:val="0"/>
          <w:marRight w:val="0"/>
          <w:marTop w:val="0"/>
          <w:marBottom w:val="0"/>
          <w:divBdr>
            <w:top w:val="none" w:sz="0" w:space="0" w:color="auto"/>
            <w:left w:val="none" w:sz="0" w:space="0" w:color="auto"/>
            <w:bottom w:val="none" w:sz="0" w:space="0" w:color="auto"/>
            <w:right w:val="none" w:sz="0" w:space="0" w:color="auto"/>
          </w:divBdr>
        </w:div>
        <w:div w:id="534659315">
          <w:marLeft w:val="0"/>
          <w:marRight w:val="0"/>
          <w:marTop w:val="0"/>
          <w:marBottom w:val="0"/>
          <w:divBdr>
            <w:top w:val="none" w:sz="0" w:space="0" w:color="auto"/>
            <w:left w:val="none" w:sz="0" w:space="0" w:color="auto"/>
            <w:bottom w:val="none" w:sz="0" w:space="0" w:color="auto"/>
            <w:right w:val="none" w:sz="0" w:space="0" w:color="auto"/>
          </w:divBdr>
        </w:div>
        <w:div w:id="1250231340">
          <w:marLeft w:val="0"/>
          <w:marRight w:val="0"/>
          <w:marTop w:val="0"/>
          <w:marBottom w:val="0"/>
          <w:divBdr>
            <w:top w:val="none" w:sz="0" w:space="0" w:color="auto"/>
            <w:left w:val="none" w:sz="0" w:space="0" w:color="auto"/>
            <w:bottom w:val="none" w:sz="0" w:space="0" w:color="auto"/>
            <w:right w:val="none" w:sz="0" w:space="0" w:color="auto"/>
          </w:divBdr>
        </w:div>
        <w:div w:id="107353939">
          <w:marLeft w:val="0"/>
          <w:marRight w:val="0"/>
          <w:marTop w:val="0"/>
          <w:marBottom w:val="0"/>
          <w:divBdr>
            <w:top w:val="none" w:sz="0" w:space="0" w:color="auto"/>
            <w:left w:val="none" w:sz="0" w:space="0" w:color="auto"/>
            <w:bottom w:val="none" w:sz="0" w:space="0" w:color="auto"/>
            <w:right w:val="none" w:sz="0" w:space="0" w:color="auto"/>
          </w:divBdr>
        </w:div>
        <w:div w:id="1276400244">
          <w:marLeft w:val="0"/>
          <w:marRight w:val="0"/>
          <w:marTop w:val="0"/>
          <w:marBottom w:val="0"/>
          <w:divBdr>
            <w:top w:val="none" w:sz="0" w:space="0" w:color="auto"/>
            <w:left w:val="none" w:sz="0" w:space="0" w:color="auto"/>
            <w:bottom w:val="none" w:sz="0" w:space="0" w:color="auto"/>
            <w:right w:val="none" w:sz="0" w:space="0" w:color="auto"/>
          </w:divBdr>
        </w:div>
        <w:div w:id="1067997788">
          <w:marLeft w:val="0"/>
          <w:marRight w:val="0"/>
          <w:marTop w:val="0"/>
          <w:marBottom w:val="0"/>
          <w:divBdr>
            <w:top w:val="none" w:sz="0" w:space="0" w:color="auto"/>
            <w:left w:val="none" w:sz="0" w:space="0" w:color="auto"/>
            <w:bottom w:val="none" w:sz="0" w:space="0" w:color="auto"/>
            <w:right w:val="none" w:sz="0" w:space="0" w:color="auto"/>
          </w:divBdr>
        </w:div>
        <w:div w:id="815073552">
          <w:marLeft w:val="0"/>
          <w:marRight w:val="0"/>
          <w:marTop w:val="0"/>
          <w:marBottom w:val="0"/>
          <w:divBdr>
            <w:top w:val="none" w:sz="0" w:space="0" w:color="auto"/>
            <w:left w:val="none" w:sz="0" w:space="0" w:color="auto"/>
            <w:bottom w:val="none" w:sz="0" w:space="0" w:color="auto"/>
            <w:right w:val="none" w:sz="0" w:space="0" w:color="auto"/>
          </w:divBdr>
        </w:div>
        <w:div w:id="963465918">
          <w:marLeft w:val="0"/>
          <w:marRight w:val="0"/>
          <w:marTop w:val="0"/>
          <w:marBottom w:val="0"/>
          <w:divBdr>
            <w:top w:val="none" w:sz="0" w:space="0" w:color="auto"/>
            <w:left w:val="none" w:sz="0" w:space="0" w:color="auto"/>
            <w:bottom w:val="none" w:sz="0" w:space="0" w:color="auto"/>
            <w:right w:val="none" w:sz="0" w:space="0" w:color="auto"/>
          </w:divBdr>
        </w:div>
        <w:div w:id="1837719150">
          <w:marLeft w:val="0"/>
          <w:marRight w:val="0"/>
          <w:marTop w:val="0"/>
          <w:marBottom w:val="0"/>
          <w:divBdr>
            <w:top w:val="none" w:sz="0" w:space="0" w:color="auto"/>
            <w:left w:val="none" w:sz="0" w:space="0" w:color="auto"/>
            <w:bottom w:val="none" w:sz="0" w:space="0" w:color="auto"/>
            <w:right w:val="none" w:sz="0" w:space="0" w:color="auto"/>
          </w:divBdr>
        </w:div>
      </w:divsChild>
    </w:div>
    <w:div w:id="1556770659">
      <w:bodyDiv w:val="1"/>
      <w:marLeft w:val="0"/>
      <w:marRight w:val="0"/>
      <w:marTop w:val="0"/>
      <w:marBottom w:val="0"/>
      <w:divBdr>
        <w:top w:val="none" w:sz="0" w:space="0" w:color="auto"/>
        <w:left w:val="none" w:sz="0" w:space="0" w:color="auto"/>
        <w:bottom w:val="none" w:sz="0" w:space="0" w:color="auto"/>
        <w:right w:val="none" w:sz="0" w:space="0" w:color="auto"/>
      </w:divBdr>
      <w:divsChild>
        <w:div w:id="280577505">
          <w:marLeft w:val="1166"/>
          <w:marRight w:val="0"/>
          <w:marTop w:val="115"/>
          <w:marBottom w:val="0"/>
          <w:divBdr>
            <w:top w:val="none" w:sz="0" w:space="0" w:color="auto"/>
            <w:left w:val="none" w:sz="0" w:space="0" w:color="auto"/>
            <w:bottom w:val="none" w:sz="0" w:space="0" w:color="auto"/>
            <w:right w:val="none" w:sz="0" w:space="0" w:color="auto"/>
          </w:divBdr>
        </w:div>
        <w:div w:id="337663383">
          <w:marLeft w:val="1166"/>
          <w:marRight w:val="0"/>
          <w:marTop w:val="115"/>
          <w:marBottom w:val="0"/>
          <w:divBdr>
            <w:top w:val="none" w:sz="0" w:space="0" w:color="auto"/>
            <w:left w:val="none" w:sz="0" w:space="0" w:color="auto"/>
            <w:bottom w:val="none" w:sz="0" w:space="0" w:color="auto"/>
            <w:right w:val="none" w:sz="0" w:space="0" w:color="auto"/>
          </w:divBdr>
        </w:div>
        <w:div w:id="429743671">
          <w:marLeft w:val="1166"/>
          <w:marRight w:val="0"/>
          <w:marTop w:val="115"/>
          <w:marBottom w:val="0"/>
          <w:divBdr>
            <w:top w:val="none" w:sz="0" w:space="0" w:color="auto"/>
            <w:left w:val="none" w:sz="0" w:space="0" w:color="auto"/>
            <w:bottom w:val="none" w:sz="0" w:space="0" w:color="auto"/>
            <w:right w:val="none" w:sz="0" w:space="0" w:color="auto"/>
          </w:divBdr>
        </w:div>
        <w:div w:id="533232224">
          <w:marLeft w:val="547"/>
          <w:marRight w:val="0"/>
          <w:marTop w:val="130"/>
          <w:marBottom w:val="0"/>
          <w:divBdr>
            <w:top w:val="none" w:sz="0" w:space="0" w:color="auto"/>
            <w:left w:val="none" w:sz="0" w:space="0" w:color="auto"/>
            <w:bottom w:val="none" w:sz="0" w:space="0" w:color="auto"/>
            <w:right w:val="none" w:sz="0" w:space="0" w:color="auto"/>
          </w:divBdr>
        </w:div>
        <w:div w:id="1170411230">
          <w:marLeft w:val="1166"/>
          <w:marRight w:val="0"/>
          <w:marTop w:val="115"/>
          <w:marBottom w:val="0"/>
          <w:divBdr>
            <w:top w:val="none" w:sz="0" w:space="0" w:color="auto"/>
            <w:left w:val="none" w:sz="0" w:space="0" w:color="auto"/>
            <w:bottom w:val="none" w:sz="0" w:space="0" w:color="auto"/>
            <w:right w:val="none" w:sz="0" w:space="0" w:color="auto"/>
          </w:divBdr>
        </w:div>
        <w:div w:id="1419711865">
          <w:marLeft w:val="547"/>
          <w:marRight w:val="0"/>
          <w:marTop w:val="130"/>
          <w:marBottom w:val="0"/>
          <w:divBdr>
            <w:top w:val="none" w:sz="0" w:space="0" w:color="auto"/>
            <w:left w:val="none" w:sz="0" w:space="0" w:color="auto"/>
            <w:bottom w:val="none" w:sz="0" w:space="0" w:color="auto"/>
            <w:right w:val="none" w:sz="0" w:space="0" w:color="auto"/>
          </w:divBdr>
        </w:div>
        <w:div w:id="1501771031">
          <w:marLeft w:val="547"/>
          <w:marRight w:val="0"/>
          <w:marTop w:val="130"/>
          <w:marBottom w:val="0"/>
          <w:divBdr>
            <w:top w:val="none" w:sz="0" w:space="0" w:color="auto"/>
            <w:left w:val="none" w:sz="0" w:space="0" w:color="auto"/>
            <w:bottom w:val="none" w:sz="0" w:space="0" w:color="auto"/>
            <w:right w:val="none" w:sz="0" w:space="0" w:color="auto"/>
          </w:divBdr>
        </w:div>
        <w:div w:id="1613709217">
          <w:marLeft w:val="1166"/>
          <w:marRight w:val="0"/>
          <w:marTop w:val="115"/>
          <w:marBottom w:val="0"/>
          <w:divBdr>
            <w:top w:val="none" w:sz="0" w:space="0" w:color="auto"/>
            <w:left w:val="none" w:sz="0" w:space="0" w:color="auto"/>
            <w:bottom w:val="none" w:sz="0" w:space="0" w:color="auto"/>
            <w:right w:val="none" w:sz="0" w:space="0" w:color="auto"/>
          </w:divBdr>
        </w:div>
        <w:div w:id="1638026675">
          <w:marLeft w:val="1166"/>
          <w:marRight w:val="0"/>
          <w:marTop w:val="115"/>
          <w:marBottom w:val="0"/>
          <w:divBdr>
            <w:top w:val="none" w:sz="0" w:space="0" w:color="auto"/>
            <w:left w:val="none" w:sz="0" w:space="0" w:color="auto"/>
            <w:bottom w:val="none" w:sz="0" w:space="0" w:color="auto"/>
            <w:right w:val="none" w:sz="0" w:space="0" w:color="auto"/>
          </w:divBdr>
        </w:div>
        <w:div w:id="1673335076">
          <w:marLeft w:val="1166"/>
          <w:marRight w:val="0"/>
          <w:marTop w:val="115"/>
          <w:marBottom w:val="0"/>
          <w:divBdr>
            <w:top w:val="none" w:sz="0" w:space="0" w:color="auto"/>
            <w:left w:val="none" w:sz="0" w:space="0" w:color="auto"/>
            <w:bottom w:val="none" w:sz="0" w:space="0" w:color="auto"/>
            <w:right w:val="none" w:sz="0" w:space="0" w:color="auto"/>
          </w:divBdr>
        </w:div>
      </w:divsChild>
    </w:div>
    <w:div w:id="2009743637">
      <w:bodyDiv w:val="1"/>
      <w:marLeft w:val="0"/>
      <w:marRight w:val="0"/>
      <w:marTop w:val="0"/>
      <w:marBottom w:val="0"/>
      <w:divBdr>
        <w:top w:val="none" w:sz="0" w:space="0" w:color="auto"/>
        <w:left w:val="none" w:sz="0" w:space="0" w:color="auto"/>
        <w:bottom w:val="none" w:sz="0" w:space="0" w:color="auto"/>
        <w:right w:val="none" w:sz="0" w:space="0" w:color="auto"/>
      </w:divBdr>
      <w:divsChild>
        <w:div w:id="503739870">
          <w:marLeft w:val="1166"/>
          <w:marRight w:val="0"/>
          <w:marTop w:val="134"/>
          <w:marBottom w:val="0"/>
          <w:divBdr>
            <w:top w:val="none" w:sz="0" w:space="0" w:color="auto"/>
            <w:left w:val="none" w:sz="0" w:space="0" w:color="auto"/>
            <w:bottom w:val="none" w:sz="0" w:space="0" w:color="auto"/>
            <w:right w:val="none" w:sz="0" w:space="0" w:color="auto"/>
          </w:divBdr>
        </w:div>
        <w:div w:id="525601955">
          <w:marLeft w:val="547"/>
          <w:marRight w:val="0"/>
          <w:marTop w:val="154"/>
          <w:marBottom w:val="0"/>
          <w:divBdr>
            <w:top w:val="none" w:sz="0" w:space="0" w:color="auto"/>
            <w:left w:val="none" w:sz="0" w:space="0" w:color="auto"/>
            <w:bottom w:val="none" w:sz="0" w:space="0" w:color="auto"/>
            <w:right w:val="none" w:sz="0" w:space="0" w:color="auto"/>
          </w:divBdr>
        </w:div>
        <w:div w:id="1233588389">
          <w:marLeft w:val="547"/>
          <w:marRight w:val="0"/>
          <w:marTop w:val="154"/>
          <w:marBottom w:val="0"/>
          <w:divBdr>
            <w:top w:val="none" w:sz="0" w:space="0" w:color="auto"/>
            <w:left w:val="none" w:sz="0" w:space="0" w:color="auto"/>
            <w:bottom w:val="none" w:sz="0" w:space="0" w:color="auto"/>
            <w:right w:val="none" w:sz="0" w:space="0" w:color="auto"/>
          </w:divBdr>
        </w:div>
        <w:div w:id="1488322926">
          <w:marLeft w:val="1166"/>
          <w:marRight w:val="0"/>
          <w:marTop w:val="134"/>
          <w:marBottom w:val="0"/>
          <w:divBdr>
            <w:top w:val="none" w:sz="0" w:space="0" w:color="auto"/>
            <w:left w:val="none" w:sz="0" w:space="0" w:color="auto"/>
            <w:bottom w:val="none" w:sz="0" w:space="0" w:color="auto"/>
            <w:right w:val="none" w:sz="0" w:space="0" w:color="auto"/>
          </w:divBdr>
        </w:div>
        <w:div w:id="1573464716">
          <w:marLeft w:val="1166"/>
          <w:marRight w:val="0"/>
          <w:marTop w:val="134"/>
          <w:marBottom w:val="0"/>
          <w:divBdr>
            <w:top w:val="none" w:sz="0" w:space="0" w:color="auto"/>
            <w:left w:val="none" w:sz="0" w:space="0" w:color="auto"/>
            <w:bottom w:val="none" w:sz="0" w:space="0" w:color="auto"/>
            <w:right w:val="none" w:sz="0" w:space="0" w:color="auto"/>
          </w:divBdr>
        </w:div>
        <w:div w:id="1866825657">
          <w:marLeft w:val="1166"/>
          <w:marRight w:val="0"/>
          <w:marTop w:val="134"/>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olicies/supporting-economic-growth-through-local-enterprise-partnerships-and-enterprise-zones/supporting-pages/local-enterprise-partnership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SS%20GVA%20-%20all%20LEPs4%20urban%20rurallondon%20and%20connurbations%20onl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'for charts'!$C$16</c:f>
              <c:strCache>
                <c:ptCount val="1"/>
                <c:pt idx="0">
                  <c:v>London</c:v>
                </c:pt>
              </c:strCache>
            </c:strRef>
          </c:tx>
          <c:spPr>
            <a:ln>
              <a:solidFill>
                <a:schemeClr val="tx1"/>
              </a:solidFill>
              <a:prstDash val="solid"/>
            </a:ln>
          </c:spPr>
          <c:marker>
            <c:symbol val="none"/>
          </c:marker>
          <c:cat>
            <c:numRef>
              <c:f>'for charts'!$D$15:$AH$15</c:f>
              <c:numCache>
                <c:formatCode>General</c:formatCode>
                <c:ptCount val="31"/>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numCache>
            </c:numRef>
          </c:cat>
          <c:val>
            <c:numRef>
              <c:f>'for charts'!$D$16:$AH$16</c:f>
              <c:numCache>
                <c:formatCode>General</c:formatCode>
                <c:ptCount val="31"/>
                <c:pt idx="0">
                  <c:v>-3130</c:v>
                </c:pt>
                <c:pt idx="1">
                  <c:v>-5521.9</c:v>
                </c:pt>
                <c:pt idx="2">
                  <c:v>-6617.1000000000013</c:v>
                </c:pt>
                <c:pt idx="3">
                  <c:v>-7993.9</c:v>
                </c:pt>
                <c:pt idx="4">
                  <c:v>-2888.7999999999988</c:v>
                </c:pt>
                <c:pt idx="5">
                  <c:v>-4157.3</c:v>
                </c:pt>
                <c:pt idx="6">
                  <c:v>-5251.2000000000007</c:v>
                </c:pt>
                <c:pt idx="7">
                  <c:v>-5960.2000000000007</c:v>
                </c:pt>
                <c:pt idx="8">
                  <c:v>-6052.6</c:v>
                </c:pt>
                <c:pt idx="9">
                  <c:v>-9729.8999999997832</c:v>
                </c:pt>
                <c:pt idx="10">
                  <c:v>-10083.599999999858</c:v>
                </c:pt>
                <c:pt idx="11">
                  <c:v>-10433.899999999818</c:v>
                </c:pt>
                <c:pt idx="12">
                  <c:v>-10628.799999999987</c:v>
                </c:pt>
                <c:pt idx="13">
                  <c:v>-11566.099999999858</c:v>
                </c:pt>
                <c:pt idx="14">
                  <c:v>-10886.899999999818</c:v>
                </c:pt>
                <c:pt idx="15">
                  <c:v>-11107.599999999858</c:v>
                </c:pt>
                <c:pt idx="16">
                  <c:v>-9189.9999999998072</c:v>
                </c:pt>
                <c:pt idx="17">
                  <c:v>-7971.2</c:v>
                </c:pt>
                <c:pt idx="18">
                  <c:v>-6778.6</c:v>
                </c:pt>
                <c:pt idx="19">
                  <c:v>-6516.7999999999984</c:v>
                </c:pt>
                <c:pt idx="20">
                  <c:v>-8659.7999999999811</c:v>
                </c:pt>
                <c:pt idx="21">
                  <c:v>-9897.2999999999811</c:v>
                </c:pt>
                <c:pt idx="22">
                  <c:v>-10155.399999999818</c:v>
                </c:pt>
                <c:pt idx="23">
                  <c:v>-8055</c:v>
                </c:pt>
                <c:pt idx="24">
                  <c:v>-5676.6</c:v>
                </c:pt>
                <c:pt idx="25">
                  <c:v>-2784.3999999999969</c:v>
                </c:pt>
                <c:pt idx="26">
                  <c:v>-7.0999999999967303</c:v>
                </c:pt>
                <c:pt idx="27">
                  <c:v>1219.400000000003</c:v>
                </c:pt>
                <c:pt idx="28">
                  <c:v>2467.700000000003</c:v>
                </c:pt>
                <c:pt idx="29">
                  <c:v>2552.9000000000042</c:v>
                </c:pt>
                <c:pt idx="30">
                  <c:v>2386.8000000000052</c:v>
                </c:pt>
              </c:numCache>
            </c:numRef>
          </c:val>
          <c:smooth val="0"/>
        </c:ser>
        <c:ser>
          <c:idx val="1"/>
          <c:order val="1"/>
          <c:tx>
            <c:strRef>
              <c:f>'for charts'!$C$17</c:f>
              <c:strCache>
                <c:ptCount val="1"/>
                <c:pt idx="0">
                  <c:v>Connurbations</c:v>
                </c:pt>
              </c:strCache>
            </c:strRef>
          </c:tx>
          <c:spPr>
            <a:ln>
              <a:solidFill>
                <a:schemeClr val="tx1"/>
              </a:solidFill>
              <a:prstDash val="dash"/>
            </a:ln>
          </c:spPr>
          <c:marker>
            <c:symbol val="none"/>
          </c:marker>
          <c:cat>
            <c:numRef>
              <c:f>'for charts'!$D$15:$AH$15</c:f>
              <c:numCache>
                <c:formatCode>General</c:formatCode>
                <c:ptCount val="31"/>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numCache>
            </c:numRef>
          </c:cat>
          <c:val>
            <c:numRef>
              <c:f>'for charts'!$D$17:$AH$17</c:f>
              <c:numCache>
                <c:formatCode>General</c:formatCode>
                <c:ptCount val="31"/>
                <c:pt idx="0">
                  <c:v>99.899999999999977</c:v>
                </c:pt>
                <c:pt idx="1">
                  <c:v>-733.30000000000007</c:v>
                </c:pt>
                <c:pt idx="2">
                  <c:v>-2642</c:v>
                </c:pt>
                <c:pt idx="3">
                  <c:v>-705.2</c:v>
                </c:pt>
                <c:pt idx="4">
                  <c:v>-4641.1000000000004</c:v>
                </c:pt>
                <c:pt idx="5">
                  <c:v>-6034.6</c:v>
                </c:pt>
                <c:pt idx="6">
                  <c:v>-7817.7000000000016</c:v>
                </c:pt>
                <c:pt idx="7">
                  <c:v>-9097.2000000000007</c:v>
                </c:pt>
                <c:pt idx="8">
                  <c:v>-8544.5</c:v>
                </c:pt>
                <c:pt idx="9">
                  <c:v>-6437.8000000000011</c:v>
                </c:pt>
                <c:pt idx="10">
                  <c:v>-6590</c:v>
                </c:pt>
                <c:pt idx="11">
                  <c:v>-6658.9</c:v>
                </c:pt>
                <c:pt idx="12">
                  <c:v>-7135.9000000000005</c:v>
                </c:pt>
                <c:pt idx="13">
                  <c:v>-7745.9000000000005</c:v>
                </c:pt>
                <c:pt idx="14">
                  <c:v>-10768</c:v>
                </c:pt>
                <c:pt idx="15">
                  <c:v>-10713.1</c:v>
                </c:pt>
                <c:pt idx="16">
                  <c:v>-10066.200000000004</c:v>
                </c:pt>
                <c:pt idx="17">
                  <c:v>-11615.3</c:v>
                </c:pt>
                <c:pt idx="18">
                  <c:v>-10463.999999999838</c:v>
                </c:pt>
                <c:pt idx="19">
                  <c:v>-11638.8</c:v>
                </c:pt>
                <c:pt idx="20">
                  <c:v>-12364.1</c:v>
                </c:pt>
                <c:pt idx="21">
                  <c:v>-13296.8</c:v>
                </c:pt>
                <c:pt idx="22">
                  <c:v>-14501.5</c:v>
                </c:pt>
                <c:pt idx="23">
                  <c:v>-16788.8</c:v>
                </c:pt>
                <c:pt idx="24">
                  <c:v>-19129.2</c:v>
                </c:pt>
                <c:pt idx="25">
                  <c:v>-21165.5</c:v>
                </c:pt>
                <c:pt idx="26">
                  <c:v>-22980.7</c:v>
                </c:pt>
                <c:pt idx="27">
                  <c:v>-24338.69999999983</c:v>
                </c:pt>
                <c:pt idx="28">
                  <c:v>-25723.599999999897</c:v>
                </c:pt>
                <c:pt idx="29">
                  <c:v>-26897.599999999897</c:v>
                </c:pt>
                <c:pt idx="30">
                  <c:v>-26449.200000000001</c:v>
                </c:pt>
              </c:numCache>
            </c:numRef>
          </c:val>
          <c:smooth val="0"/>
        </c:ser>
        <c:dLbls>
          <c:showLegendKey val="0"/>
          <c:showVal val="0"/>
          <c:showCatName val="0"/>
          <c:showSerName val="0"/>
          <c:showPercent val="0"/>
          <c:showBubbleSize val="0"/>
        </c:dLbls>
        <c:marker val="1"/>
        <c:smooth val="0"/>
        <c:axId val="62502784"/>
        <c:axId val="38670336"/>
      </c:lineChart>
      <c:catAx>
        <c:axId val="62502784"/>
        <c:scaling>
          <c:orientation val="minMax"/>
        </c:scaling>
        <c:delete val="0"/>
        <c:axPos val="b"/>
        <c:numFmt formatCode="General" sourceLinked="1"/>
        <c:majorTickMark val="out"/>
        <c:minorTickMark val="none"/>
        <c:tickLblPos val="low"/>
        <c:txPr>
          <a:bodyPr rot="-5400000" vert="horz"/>
          <a:lstStyle/>
          <a:p>
            <a:pPr>
              <a:defRPr lang="en-GB"/>
            </a:pPr>
            <a:endParaRPr lang="en-US"/>
          </a:p>
        </c:txPr>
        <c:crossAx val="38670336"/>
        <c:crosses val="autoZero"/>
        <c:auto val="1"/>
        <c:lblAlgn val="ctr"/>
        <c:lblOffset val="100"/>
        <c:noMultiLvlLbl val="0"/>
      </c:catAx>
      <c:valAx>
        <c:axId val="38670336"/>
        <c:scaling>
          <c:orientation val="minMax"/>
        </c:scaling>
        <c:delete val="0"/>
        <c:axPos val="l"/>
        <c:majorGridlines/>
        <c:numFmt formatCode="General" sourceLinked="1"/>
        <c:majorTickMark val="out"/>
        <c:minorTickMark val="none"/>
        <c:tickLblPos val="nextTo"/>
        <c:txPr>
          <a:bodyPr/>
          <a:lstStyle/>
          <a:p>
            <a:pPr>
              <a:defRPr lang="en-GB"/>
            </a:pPr>
            <a:endParaRPr lang="en-US"/>
          </a:p>
        </c:txPr>
        <c:crossAx val="62502784"/>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BA6D93-4060-49B6-B9A2-542BC5434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7224</Words>
  <Characters>41181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48309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Martin</dc:creator>
  <cp:lastModifiedBy>steve</cp:lastModifiedBy>
  <cp:revision>2</cp:revision>
  <cp:lastPrinted>2014-03-31T14:00:00Z</cp:lastPrinted>
  <dcterms:created xsi:type="dcterms:W3CDTF">2014-04-16T08:21:00Z</dcterms:created>
  <dcterms:modified xsi:type="dcterms:W3CDTF">2014-04-16T08:21:00Z</dcterms:modified>
</cp:coreProperties>
</file>